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cs="Arial"/>
          <w:b/>
          <w:bCs/>
          <w:snapToGrid w:val="0"/>
          <w:kern w:val="0"/>
          <w:sz w:val="24"/>
        </w:rPr>
      </w:pPr>
      <w:r>
        <w:rPr>
          <w:rFonts w:hint="eastAsia" w:ascii="Arial" w:hAnsi="Arial" w:cs="Arial"/>
          <w:b/>
          <w:bCs/>
          <w:snapToGrid w:val="0"/>
          <w:kern w:val="0"/>
          <w:sz w:val="24"/>
        </w:rPr>
        <w:t>3GPP TSG-RAN WG2 Meeting#</w:t>
      </w:r>
      <w:r>
        <w:rPr>
          <w:rFonts w:hint="eastAsia" w:ascii="Arial" w:hAnsi="Arial" w:cs="Arial"/>
          <w:b/>
          <w:bCs/>
          <w:snapToGrid w:val="0"/>
          <w:kern w:val="0"/>
          <w:sz w:val="24"/>
          <w:lang w:val="en-GB"/>
        </w:rPr>
        <w:t>103-bis</w:t>
      </w:r>
      <w:r>
        <w:rPr>
          <w:rFonts w:hint="eastAsia" w:ascii="Arial" w:hAnsi="Arial" w:cs="Arial"/>
          <w:b/>
          <w:bCs/>
          <w:snapToGrid w:val="0"/>
          <w:kern w:val="0"/>
          <w:sz w:val="24"/>
        </w:rPr>
        <w:t xml:space="preserve">  </w:t>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ascii="Arial" w:hAnsi="Arial" w:cs="Arial"/>
          <w:b/>
          <w:bCs/>
          <w:snapToGrid w:val="0"/>
          <w:kern w:val="0"/>
          <w:sz w:val="24"/>
        </w:rPr>
        <w:t xml:space="preserve">        </w:t>
      </w:r>
      <w:bookmarkStart w:id="2" w:name="_GoBack"/>
      <w:bookmarkEnd w:id="2"/>
      <w:r>
        <w:rPr>
          <w:rFonts w:hint="eastAsia" w:ascii="Arial" w:hAnsi="Arial" w:cs="Arial"/>
          <w:b/>
          <w:bCs/>
          <w:snapToGrid w:val="0"/>
          <w:kern w:val="0"/>
          <w:sz w:val="24"/>
        </w:rPr>
        <w:t>R2-1813945</w:t>
      </w:r>
    </w:p>
    <w:p>
      <w:pPr>
        <w:overflowPunct w:val="0"/>
        <w:autoSpaceDE w:val="0"/>
        <w:autoSpaceDN w:val="0"/>
        <w:adjustRightInd w:val="0"/>
        <w:snapToGrid w:val="0"/>
        <w:jc w:val="left"/>
        <w:textAlignment w:val="baseline"/>
        <w:rPr>
          <w:rFonts w:ascii="Arial" w:hAnsi="Arial" w:cs="Arial"/>
          <w:b/>
          <w:bCs/>
          <w:snapToGrid w:val="0"/>
          <w:kern w:val="0"/>
          <w:sz w:val="24"/>
        </w:rPr>
      </w:pPr>
      <w:r>
        <w:rPr>
          <w:rFonts w:hint="eastAsia" w:ascii="Arial" w:hAnsi="Arial" w:cs="Arial"/>
          <w:b/>
          <w:bCs/>
          <w:snapToGrid w:val="0"/>
          <w:kern w:val="0"/>
          <w:sz w:val="24"/>
          <w:lang w:val="en-GB"/>
        </w:rPr>
        <w:t>Chengdu, China 08-12 October 2018</w:t>
      </w:r>
      <w:r>
        <w:rPr>
          <w:rFonts w:hint="eastAsia" w:ascii="Arial" w:hAnsi="Arial" w:cs="Arial"/>
          <w:b/>
          <w:bCs/>
          <w:snapToGrid w:val="0"/>
          <w:kern w:val="0"/>
          <w:sz w:val="24"/>
        </w:rPr>
        <w:t xml:space="preserve"> </w:t>
      </w:r>
      <w:r>
        <w:rPr>
          <w:rFonts w:hint="eastAsia" w:ascii="Arial" w:hAnsi="Arial" w:cs="Arial"/>
          <w:b/>
          <w:bCs/>
          <w:snapToGrid w:val="0"/>
          <w:kern w:val="0"/>
          <w:sz w:val="24"/>
          <w:lang w:val="en-GB"/>
        </w:rPr>
        <w:tab/>
      </w:r>
      <w:r>
        <w:rPr>
          <w:rFonts w:hint="eastAsia" w:ascii="Arial" w:hAnsi="Arial" w:cs="Arial"/>
          <w:b/>
          <w:bCs/>
          <w:snapToGrid w:val="0"/>
          <w:kern w:val="0"/>
          <w:sz w:val="24"/>
          <w:lang w:val="en-GB"/>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lang w:val="en-GB"/>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lang w:val="en-GB"/>
        </w:rPr>
        <w:tab/>
      </w:r>
      <w:r>
        <w:rPr>
          <w:rFonts w:hint="eastAsia" w:ascii="Arial" w:hAnsi="Arial" w:cs="Arial"/>
          <w:b/>
          <w:bCs/>
          <w:snapToGrid w:val="0"/>
          <w:kern w:val="0"/>
          <w:sz w:val="24"/>
          <w:lang w:val="en-GB"/>
        </w:rPr>
        <w:t xml:space="preserve">    </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ZTE Corporation, Sanechips</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Further consideration on SCG reconfiguration for RRC_INACTIVE</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b/>
          <w:bCs/>
          <w:snapToGrid w:val="0"/>
          <w:kern w:val="0"/>
          <w:sz w:val="24"/>
        </w:rPr>
        <w:tab/>
      </w:r>
      <w:r>
        <w:rPr>
          <w:rFonts w:ascii="Arial" w:hAnsi="Arial" w:cs="Arial"/>
          <w:b/>
          <w:bCs/>
          <w:snapToGrid w:val="0"/>
          <w:kern w:val="0"/>
          <w:sz w:val="24"/>
          <w:lang w:val="en-US"/>
        </w:rPr>
        <w:t>10.5.1</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keepNext/>
        <w:keepLines/>
        <w:widowControl/>
        <w:numPr>
          <w:ilvl w:val="0"/>
          <w:numId w:val="2"/>
        </w:numPr>
        <w:pBdr>
          <w:top w:val="single" w:color="auto" w:sz="12" w:space="3"/>
        </w:pBdr>
        <w:overflowPunct w:val="0"/>
        <w:autoSpaceDE w:val="0"/>
        <w:autoSpaceDN w:val="0"/>
        <w:adjustRightInd w:val="0"/>
        <w:spacing w:before="240" w:after="180"/>
        <w:jc w:val="left"/>
        <w:textAlignment w:val="baseline"/>
        <w:outlineLvl w:val="0"/>
        <w:rPr>
          <w:rFonts w:ascii="Arial" w:hAnsi="Arial" w:cs="Arial"/>
          <w:kern w:val="0"/>
          <w:sz w:val="32"/>
          <w:szCs w:val="36"/>
        </w:rPr>
      </w:pPr>
      <w:r>
        <w:rPr>
          <w:rFonts w:ascii="Arial" w:hAnsi="Arial" w:cs="Arial"/>
          <w:kern w:val="0"/>
          <w:sz w:val="32"/>
          <w:szCs w:val="36"/>
        </w:rPr>
        <w:t>Introduction</w:t>
      </w:r>
    </w:p>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In this contribution, considerations on when and how SCG configuration is reconfigured and resumed for various scenarios are provided for RRC_INACTIVE in MR-DC.</w:t>
      </w:r>
    </w:p>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During email discussion 103#50, majority companies suggest to maintain SCG configuration when UE is suspended and when UE initiate resume procedure. Meanwhile, regarding when and how SCG configuration is resumed, there are different alternatives. In this contribution, we provide our views on these alternatives.</w:t>
      </w:r>
    </w:p>
    <w:p>
      <w:pPr>
        <w:keepNext/>
        <w:keepLines/>
        <w:widowControl/>
        <w:numPr>
          <w:ilvl w:val="0"/>
          <w:numId w:val="2"/>
        </w:numPr>
        <w:pBdr>
          <w:top w:val="single" w:color="auto" w:sz="12" w:space="3"/>
        </w:pBdr>
        <w:overflowPunct w:val="0"/>
        <w:autoSpaceDE w:val="0"/>
        <w:autoSpaceDN w:val="0"/>
        <w:adjustRightInd w:val="0"/>
        <w:spacing w:before="240" w:after="180"/>
        <w:jc w:val="left"/>
        <w:textAlignment w:val="baseline"/>
        <w:outlineLvl w:val="0"/>
        <w:rPr>
          <w:rFonts w:ascii="Arial" w:hAnsi="Arial" w:cs="Arial"/>
          <w:kern w:val="0"/>
          <w:sz w:val="32"/>
          <w:szCs w:val="36"/>
        </w:rPr>
      </w:pPr>
      <w:r>
        <w:rPr>
          <w:rFonts w:ascii="Arial" w:hAnsi="Arial" w:cs="Arial"/>
          <w:kern w:val="0"/>
          <w:sz w:val="32"/>
          <w:szCs w:val="36"/>
        </w:rPr>
        <w:t>Discussion</w:t>
      </w:r>
    </w:p>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Maintaining SCG configuration when UE is suspended/initiating resume procedure is beneficial from signaling overhead perspective. If SCG configuration is released implicitly, a full reconfiguration for SCG is needed to resume the SCG. Since most lower-layer configuration will not change totally from cell to cell, full reconfiguration of SCG lower-layer costs unnecessary signaling overhead. Further, to reconfigure SCG bearers to MCG bearers before suspend is also not efficient due to additional signaling required to reconfigure SCG bearers to MCG bearers before suspend and from MCG bearer to SCG bearer on resumption.</w:t>
      </w:r>
    </w:p>
    <w:p>
      <w:pPr>
        <w:pStyle w:val="99"/>
        <w:rPr>
          <w:rFonts w:ascii="Times New Roman" w:hAnsi="Times New Roman" w:eastAsia="Batang"/>
          <w:b/>
          <w:bCs/>
          <w:i w:val="0"/>
          <w:iCs/>
          <w:sz w:val="20"/>
          <w:szCs w:val="20"/>
          <w:lang w:val="en-US" w:eastAsia="zh-CN"/>
        </w:rPr>
      </w:pPr>
      <w:r>
        <w:rPr>
          <w:rFonts w:ascii="Times New Roman" w:hAnsi="Times New Roman" w:eastAsia="Batang"/>
          <w:b/>
          <w:bCs/>
          <w:i w:val="0"/>
          <w:iCs/>
          <w:sz w:val="20"/>
          <w:szCs w:val="20"/>
          <w:lang w:val="en-US" w:eastAsia="zh-CN"/>
        </w:rPr>
        <w:t>Observation: Maintaining SCG configuration when UE moves to RRC_INACTIVE and when the UE initiates resume procedure is beneficial in reducing signaling overhead.</w:t>
      </w:r>
    </w:p>
    <w:p>
      <w:pPr>
        <w:pStyle w:val="99"/>
        <w:rPr>
          <w:rFonts w:ascii="Times New Roman" w:hAnsi="Times New Roman" w:eastAsia="Batang"/>
          <w:b/>
          <w:bCs/>
          <w:i w:val="0"/>
          <w:iCs/>
          <w:sz w:val="20"/>
          <w:szCs w:val="20"/>
          <w:lang w:val="en-US" w:eastAsia="zh-CN"/>
        </w:rPr>
      </w:pPr>
    </w:p>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 xml:space="preserve">Different operations can be applied to meet different resume scenarios: </w:t>
      </w:r>
    </w:p>
    <w:p>
      <w:pPr>
        <w:pStyle w:val="99"/>
        <w:rPr>
          <w:rFonts w:ascii="Times New Roman" w:hAnsi="Times New Roman" w:eastAsia="Batang"/>
          <w:i w:val="0"/>
          <w:iCs/>
          <w:sz w:val="20"/>
          <w:szCs w:val="20"/>
          <w:u w:val="single"/>
          <w:lang w:val="en-US" w:eastAsia="zh-CN"/>
        </w:rPr>
      </w:pPr>
      <w:r>
        <w:rPr>
          <w:rFonts w:ascii="Times New Roman" w:hAnsi="Times New Roman" w:eastAsia="Batang"/>
          <w:i w:val="0"/>
          <w:iCs/>
          <w:sz w:val="20"/>
          <w:szCs w:val="20"/>
          <w:u w:val="single"/>
          <w:lang w:val="en-US" w:eastAsia="zh-CN"/>
        </w:rPr>
        <w:t>Case 1: UE initiate resume procedure due to RAN Notification Area Update (RNAU)</w:t>
      </w:r>
    </w:p>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If the resume procedure is initiated due to either periodic RNAU or due to RNAU because of mobility, UE is likely to be moved back to RRC inactive state by RRC release message via msg4. In this case, if UE has stored SCG configuration, it is unnecessary to reconfigure or resume the SCG. On reception of release message via msg4, UE should act in the same way as receiving a normal RRC release with suspend indication, i.e. store MCG and SCG configuration and move to RRC inactive.</w:t>
      </w:r>
    </w:p>
    <w:p>
      <w:pPr>
        <w:pStyle w:val="99"/>
        <w:rPr>
          <w:rFonts w:ascii="Times New Roman" w:hAnsi="Times New Roman" w:eastAsia="Batang"/>
          <w:i w:val="0"/>
          <w:iCs/>
          <w:sz w:val="20"/>
          <w:szCs w:val="20"/>
          <w:lang w:val="en-US" w:eastAsia="zh-CN"/>
        </w:rPr>
      </w:pPr>
    </w:p>
    <w:p>
      <w:pPr>
        <w:pStyle w:val="99"/>
        <w:rPr>
          <w:rFonts w:ascii="Times New Roman" w:hAnsi="Times New Roman" w:eastAsia="Batang"/>
          <w:i w:val="0"/>
          <w:iCs/>
          <w:sz w:val="20"/>
          <w:szCs w:val="20"/>
          <w:u w:val="single"/>
          <w:lang w:val="en-US" w:eastAsia="zh-CN"/>
        </w:rPr>
      </w:pPr>
      <w:r>
        <w:rPr>
          <w:rFonts w:ascii="Times New Roman" w:hAnsi="Times New Roman" w:eastAsia="Batang"/>
          <w:i w:val="0"/>
          <w:iCs/>
          <w:sz w:val="20"/>
          <w:szCs w:val="20"/>
          <w:u w:val="single"/>
          <w:lang w:val="en-US" w:eastAsia="zh-CN"/>
        </w:rPr>
        <w:t>Case 2: UE initiates resume procedure due to UL data arrival</w:t>
      </w:r>
    </w:p>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 xml:space="preserve">If UE initiate resume due to UL data arrival, the UL data can come from DRB mapped on either MCG bearer or SCG bearer or both. In current RRC resume request specification, there is no indicator for network to distinguish which DRB the UL data is mapped on. Thus, it is possible for network side to reconfigure all DRBs to be MCG bearer via msg4 or reconfigure and resume SCG via message 4 blindly if it thinks feasible. Note that this still needs a mechanism to indicate to the Master node that there is data over the suspended SCG bearers. This is discussed further in the sections below. </w:t>
      </w:r>
    </w:p>
    <w:p>
      <w:pPr>
        <w:pStyle w:val="99"/>
        <w:rPr>
          <w:rFonts w:ascii="Times New Roman" w:hAnsi="Times New Roman" w:eastAsia="Batang"/>
          <w:i w:val="0"/>
          <w:iCs/>
          <w:sz w:val="20"/>
          <w:szCs w:val="20"/>
          <w:lang w:val="en-US" w:eastAsia="zh-CN"/>
        </w:rPr>
      </w:pPr>
    </w:p>
    <w:p>
      <w:pPr>
        <w:pStyle w:val="99"/>
        <w:rPr>
          <w:rFonts w:ascii="Times New Roman" w:hAnsi="Times New Roman" w:eastAsia="Batang"/>
          <w:i w:val="0"/>
          <w:iCs/>
          <w:sz w:val="20"/>
          <w:szCs w:val="20"/>
          <w:u w:val="single"/>
          <w:lang w:val="en-US" w:eastAsia="zh-CN"/>
        </w:rPr>
      </w:pPr>
      <w:r>
        <w:rPr>
          <w:rFonts w:ascii="Times New Roman" w:hAnsi="Times New Roman" w:eastAsia="Batang"/>
          <w:i w:val="0"/>
          <w:iCs/>
          <w:sz w:val="20"/>
          <w:szCs w:val="20"/>
          <w:u w:val="single"/>
          <w:lang w:val="en-US" w:eastAsia="zh-CN"/>
        </w:rPr>
        <w:t>Case 3: UE initiates resume procedure due to DL data arrival</w:t>
      </w:r>
    </w:p>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If UE initiates resume procedure due to DL data arrival, i.e. being RAN paged, network knows the DRB on which the DL data is mapped. If the DRB is mapped on SCG bearer according to stored UE context, network side can chose either to reconfigure SCG via msg4 if feasible, or to reconfigure the DRB to MCG bearer.</w:t>
      </w:r>
    </w:p>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If the DRB is mapped on MCG according to stored UE context, network side can delay the reconfiguration of SCG, i.e. reconfigure SCG when necessary to avoid unnecessary UE power consumption used to sync to PSCell, and avoid unnecessary SCG failure due to potential improper blind reconfiguration. Thus, it is preferred to support suspended SCG on reception of resume message in this case.</w:t>
      </w:r>
    </w:p>
    <w:p>
      <w:pPr>
        <w:pStyle w:val="99"/>
        <w:rPr>
          <w:rFonts w:ascii="Times New Roman" w:hAnsi="Times New Roman" w:eastAsia="Batang"/>
          <w:i w:val="0"/>
          <w:iCs/>
          <w:sz w:val="20"/>
          <w:szCs w:val="20"/>
          <w:lang w:val="en-US" w:eastAsia="zh-CN"/>
        </w:rPr>
      </w:pPr>
    </w:p>
    <w:p>
      <w:pPr>
        <w:pStyle w:val="99"/>
        <w:rPr>
          <w:rFonts w:ascii="Times New Roman" w:hAnsi="Times New Roman" w:eastAsia="Batang"/>
          <w:i w:val="0"/>
          <w:iCs/>
          <w:sz w:val="20"/>
          <w:szCs w:val="20"/>
          <w:u w:val="single"/>
          <w:lang w:val="en-US" w:eastAsia="zh-CN"/>
        </w:rPr>
      </w:pPr>
      <w:r>
        <w:rPr>
          <w:rFonts w:ascii="Times New Roman" w:hAnsi="Times New Roman" w:eastAsia="Batang"/>
          <w:i w:val="0"/>
          <w:iCs/>
          <w:sz w:val="20"/>
          <w:szCs w:val="20"/>
          <w:u w:val="single"/>
          <w:lang w:val="en-US" w:eastAsia="zh-CN"/>
        </w:rPr>
        <w:t>Case 4: UE initiates resume procedure due to TAU</w:t>
      </w:r>
    </w:p>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If the resume is due to TAU, UE will be moved to RRC connected state to finish the procedure. It seems unnecessary to resume SCG because it is likely that there will no data transmission before the TAU procedure is finished. On the other hand, to maintain SCG in this case is still beneficial for future reconfiguration when needed. Further, in this case it is also beneficial to keep the SCG in suspended state.</w:t>
      </w:r>
    </w:p>
    <w:p>
      <w:pPr>
        <w:pStyle w:val="99"/>
        <w:rPr>
          <w:rFonts w:ascii="Times New Roman" w:hAnsi="Times New Roman" w:eastAsia="Batang"/>
          <w:i w:val="0"/>
          <w:iCs/>
          <w:sz w:val="20"/>
          <w:szCs w:val="20"/>
          <w:lang w:val="en-US" w:eastAsia="zh-CN"/>
        </w:rPr>
      </w:pPr>
    </w:p>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 xml:space="preserve">If SCG is to be reconfigured and resumed, we think it should be possible to do this both using resume message or after resume message (using a subsequent reconfiguration). If UE initiates resume procedure from the cell from which it is suspended, or the network can determine that the blind reconfiguration is feasible, reconfiguration and resume SCG on resume message is reasonable. Otherwise, network can wait for measurement report after resume message and reconfigure&amp;resume SCG via reconfiguration message. Based on the above analysis, in some cases, delaying SCG reconfiguration is beneficial not only from signaling overhead perspective but also to reduce UE power consumption and avoidance of SCG failure due to improper blind reconfiguration. </w:t>
      </w:r>
    </w:p>
    <w:p>
      <w:pPr>
        <w:pStyle w:val="99"/>
        <w:rPr>
          <w:rFonts w:ascii="Times New Roman" w:hAnsi="Times New Roman" w:eastAsia="Batang"/>
          <w:b/>
          <w:bCs/>
          <w:i w:val="0"/>
          <w:iCs/>
          <w:sz w:val="20"/>
          <w:szCs w:val="20"/>
          <w:lang w:val="en-US" w:eastAsia="zh-CN"/>
        </w:rPr>
      </w:pPr>
      <w:r>
        <w:rPr>
          <w:rFonts w:ascii="Times New Roman" w:hAnsi="Times New Roman" w:eastAsia="Batang"/>
          <w:b/>
          <w:bCs/>
          <w:i w:val="0"/>
          <w:iCs/>
          <w:sz w:val="20"/>
          <w:szCs w:val="20"/>
          <w:lang w:val="en-US" w:eastAsia="zh-CN"/>
        </w:rPr>
        <w:t>Proposal 1: Support both reconfiguration and resume SCG on resume message and after resume message.</w:t>
      </w:r>
    </w:p>
    <w:p>
      <w:pPr>
        <w:pStyle w:val="99"/>
        <w:rPr>
          <w:rFonts w:ascii="Times New Roman" w:hAnsi="Times New Roman" w:eastAsia="Batang"/>
          <w:i w:val="0"/>
          <w:iCs/>
          <w:sz w:val="20"/>
          <w:szCs w:val="20"/>
          <w:lang w:val="en-US" w:eastAsia="zh-CN"/>
        </w:rPr>
      </w:pPr>
    </w:p>
    <w:p>
      <w:pPr>
        <w:pStyle w:val="99"/>
        <w:rPr>
          <w:rFonts w:ascii="Times New Roman" w:hAnsi="Times New Roman" w:eastAsia="Batang"/>
          <w:b/>
          <w:bCs/>
          <w:i w:val="0"/>
          <w:iCs/>
          <w:sz w:val="20"/>
          <w:szCs w:val="20"/>
          <w:lang w:val="en-US" w:eastAsia="zh-CN"/>
        </w:rPr>
      </w:pPr>
      <w:r>
        <w:rPr>
          <w:rFonts w:ascii="Times New Roman" w:hAnsi="Times New Roman" w:eastAsia="Batang"/>
          <w:i w:val="0"/>
          <w:iCs/>
          <w:sz w:val="20"/>
          <w:szCs w:val="20"/>
          <w:lang w:val="en-US" w:eastAsia="zh-CN"/>
        </w:rPr>
        <w:t>In the cases that it is unnecessary to resume SCG, i.e. resume for RNAU, TAU and data transmission only via MCG bearers, network should be able to keep the SCG bearers in suspended state and at the same time SCG configuration can still be maintained for later or future delta reconfiguration.</w:t>
      </w:r>
    </w:p>
    <w:p>
      <w:pPr>
        <w:pStyle w:val="99"/>
        <w:rPr>
          <w:rFonts w:ascii="Times New Roman" w:hAnsi="Times New Roman" w:eastAsia="Batang"/>
          <w:b/>
          <w:bCs/>
          <w:i w:val="0"/>
          <w:iCs/>
          <w:sz w:val="20"/>
          <w:szCs w:val="20"/>
          <w:lang w:val="en-US" w:eastAsia="zh-CN"/>
        </w:rPr>
      </w:pPr>
      <w:r>
        <w:rPr>
          <w:rFonts w:ascii="Times New Roman" w:hAnsi="Times New Roman" w:eastAsia="Batang"/>
          <w:b/>
          <w:bCs/>
          <w:i w:val="0"/>
          <w:iCs/>
          <w:sz w:val="20"/>
          <w:szCs w:val="20"/>
          <w:lang w:val="en-US" w:eastAsia="zh-CN"/>
        </w:rPr>
        <w:t>Proposal 2: Support the network signaling to maintain SCG configuration on reception of msg4 but keep the SCG bearers suspended.</w:t>
      </w:r>
    </w:p>
    <w:p>
      <w:pPr>
        <w:pStyle w:val="99"/>
        <w:rPr>
          <w:rFonts w:ascii="Times New Roman" w:hAnsi="Times New Roman" w:eastAsia="Batang"/>
          <w:b/>
          <w:bCs/>
          <w:i w:val="0"/>
          <w:iCs/>
          <w:sz w:val="20"/>
          <w:szCs w:val="20"/>
          <w:lang w:val="en-US" w:eastAsia="zh-CN"/>
        </w:rPr>
      </w:pPr>
    </w:p>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 xml:space="preserve">When there is UL data while SCG bearers are suspended, an indication is needed to be sent to the master node to enable it to either reconfigure the SCG bearers to be MCG bearers or to resume the SCG bearers. In this case one option is to use the SCG failure procedure to handle this situation, i.e. UE reports the UL data arrival via SCG failure report if the corresponding DRB is in suspended state. </w:t>
      </w:r>
    </w:p>
    <w:p>
      <w:pPr>
        <w:pStyle w:val="99"/>
        <w:rPr>
          <w:rFonts w:ascii="Times New Roman" w:hAnsi="Times New Roman" w:eastAsia="Batang"/>
          <w:b/>
          <w:bCs/>
          <w:i w:val="0"/>
          <w:iCs/>
          <w:sz w:val="20"/>
          <w:szCs w:val="20"/>
          <w:lang w:val="en-US" w:eastAsia="zh-CN"/>
        </w:rPr>
      </w:pPr>
      <w:r>
        <w:rPr>
          <w:rFonts w:ascii="Times New Roman" w:hAnsi="Times New Roman" w:eastAsia="Batang"/>
          <w:b/>
          <w:bCs/>
          <w:i w:val="0"/>
          <w:iCs/>
          <w:sz w:val="20"/>
          <w:szCs w:val="20"/>
          <w:lang w:val="en-US" w:eastAsia="zh-CN"/>
        </w:rPr>
        <w:t>Proposal 3: SCG failure is triggered to report UL data arrival when SCG is suspended.</w:t>
      </w:r>
    </w:p>
    <w:p>
      <w:pPr>
        <w:pStyle w:val="99"/>
        <w:rPr>
          <w:rFonts w:ascii="Times New Roman" w:hAnsi="Times New Roman" w:eastAsia="Batang"/>
          <w:b/>
          <w:bCs/>
          <w:i w:val="0"/>
          <w:iCs/>
          <w:sz w:val="20"/>
          <w:szCs w:val="20"/>
          <w:lang w:val="en-US" w:eastAsia="zh-CN"/>
        </w:rPr>
      </w:pPr>
    </w:p>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 xml:space="preserve">One issue with resuming the SCG bearers is the availability of fresh measurements on the SCG leg at the master node. In order to enable this, the MeNB can configure measurements on the SCG frequency(s) and these measurement objects can be enabled or removed by the MeNB using the existing procedures. Thus no new mechanisms are needed to obtain the measurements for suspended SCG leg at the master node. </w:t>
      </w:r>
    </w:p>
    <w:p>
      <w:pPr>
        <w:pStyle w:val="99"/>
        <w:rPr>
          <w:rFonts w:ascii="Times New Roman" w:hAnsi="Times New Roman" w:eastAsia="Batang"/>
          <w:b/>
          <w:i w:val="0"/>
          <w:iCs/>
          <w:sz w:val="20"/>
          <w:szCs w:val="20"/>
          <w:lang w:val="en-US" w:eastAsia="zh-CN"/>
        </w:rPr>
      </w:pPr>
      <w:r>
        <w:rPr>
          <w:rFonts w:ascii="Times New Roman" w:hAnsi="Times New Roman" w:eastAsia="Batang"/>
          <w:b/>
          <w:i w:val="0"/>
          <w:iCs/>
          <w:sz w:val="20"/>
          <w:szCs w:val="20"/>
          <w:lang w:val="en-US" w:eastAsia="zh-CN"/>
        </w:rPr>
        <w:t>Proposal 4: Master node may continue to configure and obtain the measurements for the suspended SCG frequencies to enable it to make decisions regarding when and if to resume SCG bearers etc.</w:t>
      </w:r>
    </w:p>
    <w:p>
      <w:pPr>
        <w:pStyle w:val="99"/>
        <w:rPr>
          <w:rFonts w:ascii="Times New Roman" w:hAnsi="Times New Roman" w:eastAsia="Batang"/>
          <w:b/>
          <w:i w:val="0"/>
          <w:iCs/>
          <w:sz w:val="20"/>
          <w:szCs w:val="20"/>
          <w:lang w:val="en-US" w:eastAsia="zh-CN"/>
        </w:rPr>
      </w:pPr>
    </w:p>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In summary, based on the cases above, network can have the following flexibility to meet different scenarios:</w:t>
      </w:r>
    </w:p>
    <w:p>
      <w:pPr>
        <w:pStyle w:val="99"/>
        <w:jc w:val="center"/>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Table 1.1 summary</w:t>
      </w:r>
    </w:p>
    <w:tbl>
      <w:tblPr>
        <w:tblStyle w:val="66"/>
        <w:tblW w:w="96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2"/>
        <w:gridCol w:w="3730"/>
        <w:gridCol w:w="3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2" w:type="dxa"/>
          </w:tcPr>
          <w:p>
            <w:pPr>
              <w:pStyle w:val="99"/>
              <w:jc w:val="center"/>
              <w:rPr>
                <w:rFonts w:ascii="Times New Roman" w:hAnsi="Times New Roman" w:eastAsia="Batang"/>
                <w:b/>
                <w:bCs/>
                <w:i w:val="0"/>
                <w:iCs/>
                <w:sz w:val="20"/>
                <w:szCs w:val="20"/>
                <w:lang w:val="en-US" w:eastAsia="zh-CN"/>
              </w:rPr>
            </w:pPr>
            <w:r>
              <w:rPr>
                <w:rFonts w:ascii="Times New Roman" w:hAnsi="Times New Roman" w:eastAsia="Batang"/>
                <w:b/>
                <w:bCs/>
                <w:i w:val="0"/>
                <w:iCs/>
                <w:sz w:val="20"/>
                <w:szCs w:val="20"/>
                <w:lang w:val="en-US" w:eastAsia="zh-CN"/>
              </w:rPr>
              <w:t>Actions</w:t>
            </w:r>
          </w:p>
        </w:tc>
        <w:tc>
          <w:tcPr>
            <w:tcW w:w="3730" w:type="dxa"/>
          </w:tcPr>
          <w:p>
            <w:pPr>
              <w:pStyle w:val="99"/>
              <w:jc w:val="center"/>
              <w:rPr>
                <w:rFonts w:ascii="Times New Roman" w:hAnsi="Times New Roman" w:eastAsia="Batang"/>
                <w:b/>
                <w:bCs/>
                <w:i w:val="0"/>
                <w:iCs/>
                <w:sz w:val="20"/>
                <w:szCs w:val="20"/>
                <w:lang w:val="en-US" w:eastAsia="zh-CN"/>
              </w:rPr>
            </w:pPr>
            <w:r>
              <w:rPr>
                <w:rFonts w:ascii="Times New Roman" w:hAnsi="Times New Roman" w:eastAsia="Batang"/>
                <w:b/>
                <w:bCs/>
                <w:i w:val="0"/>
                <w:iCs/>
                <w:sz w:val="20"/>
                <w:szCs w:val="20"/>
                <w:lang w:val="en-US" w:eastAsia="zh-CN"/>
              </w:rPr>
              <w:t>Scenarios</w:t>
            </w:r>
          </w:p>
        </w:tc>
        <w:tc>
          <w:tcPr>
            <w:tcW w:w="3211" w:type="dxa"/>
          </w:tcPr>
          <w:p>
            <w:pPr>
              <w:pStyle w:val="99"/>
              <w:jc w:val="center"/>
              <w:rPr>
                <w:rFonts w:ascii="Times New Roman" w:hAnsi="Times New Roman" w:eastAsia="Batang"/>
                <w:b/>
                <w:bCs/>
                <w:i w:val="0"/>
                <w:iCs/>
                <w:sz w:val="20"/>
                <w:szCs w:val="20"/>
                <w:lang w:val="en-US" w:eastAsia="zh-CN"/>
              </w:rPr>
            </w:pPr>
            <w:r>
              <w:rPr>
                <w:rFonts w:ascii="Times New Roman" w:hAnsi="Times New Roman" w:eastAsia="Batang"/>
                <w:b/>
                <w:bCs/>
                <w:i w:val="0"/>
                <w:iCs/>
                <w:sz w:val="20"/>
                <w:szCs w:val="20"/>
                <w:lang w:val="en-US" w:eastAsia="zh-CN"/>
              </w:rPr>
              <w:t>Impact on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2" w:type="dxa"/>
          </w:tcPr>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Reconfigure part or all SCG bearer to MCG bearer via resume message</w:t>
            </w:r>
          </w:p>
        </w:tc>
        <w:tc>
          <w:tcPr>
            <w:tcW w:w="3730" w:type="dxa"/>
          </w:tcPr>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DL data arrival for SCG bearers</w:t>
            </w:r>
          </w:p>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UL data arrival</w:t>
            </w:r>
          </w:p>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And blind reconfiguration is improper</w:t>
            </w:r>
          </w:p>
        </w:tc>
        <w:tc>
          <w:tcPr>
            <w:tcW w:w="3211" w:type="dxa"/>
          </w:tcPr>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Already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2" w:type="dxa"/>
          </w:tcPr>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 xml:space="preserve">Reconfigure SCG via resume message </w:t>
            </w:r>
          </w:p>
        </w:tc>
        <w:tc>
          <w:tcPr>
            <w:tcW w:w="3730" w:type="dxa"/>
          </w:tcPr>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DL/UL data arrival for SCG bearers,</w:t>
            </w:r>
          </w:p>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And blind reconfiguration is feasible</w:t>
            </w:r>
          </w:p>
        </w:tc>
        <w:tc>
          <w:tcPr>
            <w:tcW w:w="3211" w:type="dxa"/>
          </w:tcPr>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Already supported, either full or delta reconfiguration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2" w:type="dxa"/>
          </w:tcPr>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Reconfigure SCG after resume message</w:t>
            </w:r>
          </w:p>
        </w:tc>
        <w:tc>
          <w:tcPr>
            <w:tcW w:w="3730" w:type="dxa"/>
          </w:tcPr>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 xml:space="preserve">Blind reconfiguration is not appropriate, or unnecessary to reconfigure SCG via resume message </w:t>
            </w:r>
          </w:p>
        </w:tc>
        <w:tc>
          <w:tcPr>
            <w:tcW w:w="3211" w:type="dxa"/>
          </w:tcPr>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Already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2" w:type="dxa"/>
          </w:tcPr>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Suspend SCG and maintain SCG configuration</w:t>
            </w:r>
          </w:p>
        </w:tc>
        <w:tc>
          <w:tcPr>
            <w:tcW w:w="3730" w:type="dxa"/>
          </w:tcPr>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TAU, RNAU,</w:t>
            </w:r>
          </w:p>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Data transmission via MCG bearers only</w:t>
            </w:r>
          </w:p>
        </w:tc>
        <w:tc>
          <w:tcPr>
            <w:tcW w:w="3211" w:type="dxa"/>
          </w:tcPr>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 xml:space="preserve">In resume msg, indicate UE to suspend SCG and maintain SCG configuration  </w:t>
            </w:r>
          </w:p>
          <w:p>
            <w:pPr>
              <w:pStyle w:val="99"/>
              <w:rPr>
                <w:rFonts w:ascii="Times New Roman" w:hAnsi="Times New Roman" w:eastAsia="Batang"/>
                <w:i w:val="0"/>
                <w:iCs/>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2" w:type="dxa"/>
          </w:tcPr>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Indicate UL data arrival on suspended SCG bearer</w:t>
            </w:r>
          </w:p>
        </w:tc>
        <w:tc>
          <w:tcPr>
            <w:tcW w:w="3730" w:type="dxa"/>
          </w:tcPr>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UL data over suspended SCG bearer</w:t>
            </w:r>
          </w:p>
        </w:tc>
        <w:tc>
          <w:tcPr>
            <w:tcW w:w="3211" w:type="dxa"/>
          </w:tcPr>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Provide an additional trigger for sending SCG failure indication</w:t>
            </w:r>
          </w:p>
        </w:tc>
      </w:tr>
    </w:tbl>
    <w:p>
      <w:pPr>
        <w:pStyle w:val="99"/>
        <w:rPr>
          <w:rFonts w:ascii="Times New Roman" w:hAnsi="Times New Roman" w:eastAsia="Batang"/>
          <w:b/>
          <w:bCs/>
          <w:i w:val="0"/>
          <w:iCs/>
          <w:sz w:val="20"/>
          <w:szCs w:val="20"/>
          <w:lang w:val="en-US" w:eastAsia="zh-CN"/>
        </w:rPr>
      </w:pPr>
    </w:p>
    <w:p>
      <w:pPr>
        <w:keepNext/>
        <w:keepLines/>
        <w:widowControl/>
        <w:numPr>
          <w:ilvl w:val="0"/>
          <w:numId w:val="2"/>
        </w:numPr>
        <w:pBdr>
          <w:top w:val="single" w:color="auto" w:sz="12" w:space="3"/>
        </w:pBdr>
        <w:overflowPunct w:val="0"/>
        <w:autoSpaceDE w:val="0"/>
        <w:autoSpaceDN w:val="0"/>
        <w:adjustRightInd w:val="0"/>
        <w:spacing w:before="240" w:after="180"/>
        <w:jc w:val="left"/>
        <w:textAlignment w:val="baseline"/>
        <w:outlineLvl w:val="0"/>
        <w:rPr>
          <w:rFonts w:ascii="Arial" w:hAnsi="Arial" w:cs="Arial"/>
          <w:kern w:val="0"/>
          <w:sz w:val="32"/>
          <w:szCs w:val="36"/>
        </w:rPr>
      </w:pPr>
      <w:r>
        <w:rPr>
          <w:rFonts w:ascii="Arial" w:hAnsi="Arial" w:cs="Arial"/>
          <w:kern w:val="0"/>
          <w:sz w:val="32"/>
          <w:szCs w:val="36"/>
        </w:rPr>
        <w:t>Conclusion</w:t>
      </w:r>
    </w:p>
    <w:p>
      <w:pPr>
        <w:pStyle w:val="99"/>
        <w:rPr>
          <w:rFonts w:ascii="Times New Roman" w:hAnsi="Times New Roman" w:eastAsia="Batang"/>
          <w:b/>
          <w:bCs/>
          <w:i w:val="0"/>
          <w:iCs/>
          <w:sz w:val="20"/>
          <w:szCs w:val="20"/>
          <w:lang w:val="en-US" w:eastAsia="zh-CN"/>
        </w:rPr>
      </w:pPr>
      <w:r>
        <w:rPr>
          <w:rFonts w:ascii="Times New Roman" w:hAnsi="Times New Roman" w:eastAsia="Batang"/>
          <w:b/>
          <w:bCs/>
          <w:i w:val="0"/>
          <w:iCs/>
          <w:sz w:val="20"/>
          <w:szCs w:val="20"/>
          <w:lang w:val="en-US" w:eastAsia="zh-CN"/>
        </w:rPr>
        <w:t>Observation: Maintaining SCG configuration when UE moves to RRC_INACTIVE and when the UE initiates resume procedure is beneficial in reducing signaling overhead.</w:t>
      </w:r>
    </w:p>
    <w:p>
      <w:pPr>
        <w:pStyle w:val="99"/>
        <w:rPr>
          <w:rFonts w:ascii="Times New Roman" w:hAnsi="Times New Roman" w:eastAsia="Batang"/>
          <w:b/>
          <w:bCs/>
          <w:i w:val="0"/>
          <w:iCs/>
          <w:sz w:val="20"/>
          <w:szCs w:val="20"/>
          <w:lang w:val="en-US" w:eastAsia="zh-CN"/>
        </w:rPr>
      </w:pPr>
      <w:r>
        <w:rPr>
          <w:rFonts w:ascii="Times New Roman" w:hAnsi="Times New Roman" w:eastAsia="Batang"/>
          <w:b/>
          <w:bCs/>
          <w:i w:val="0"/>
          <w:iCs/>
          <w:sz w:val="20"/>
          <w:szCs w:val="20"/>
          <w:lang w:val="en-US" w:eastAsia="zh-CN"/>
        </w:rPr>
        <w:t>Proposal 1: Support both reconfiguration and resume SCG on resume message and after resume message.</w:t>
      </w:r>
    </w:p>
    <w:p>
      <w:pPr>
        <w:pStyle w:val="99"/>
        <w:rPr>
          <w:rFonts w:ascii="Times New Roman" w:hAnsi="Times New Roman" w:eastAsia="Batang"/>
          <w:b/>
          <w:bCs/>
          <w:i w:val="0"/>
          <w:iCs/>
          <w:sz w:val="20"/>
          <w:szCs w:val="20"/>
          <w:lang w:val="en-US" w:eastAsia="zh-CN"/>
        </w:rPr>
      </w:pPr>
      <w:r>
        <w:rPr>
          <w:rFonts w:ascii="Times New Roman" w:hAnsi="Times New Roman" w:eastAsia="Batang"/>
          <w:b/>
          <w:bCs/>
          <w:i w:val="0"/>
          <w:iCs/>
          <w:sz w:val="20"/>
          <w:szCs w:val="20"/>
          <w:lang w:val="en-US" w:eastAsia="zh-CN"/>
        </w:rPr>
        <w:t>Proposal 2: Support the network signaling to maintain SCG configuration on reception of msg4 but keep the SCG bearers suspended.</w:t>
      </w:r>
    </w:p>
    <w:p>
      <w:pPr>
        <w:pStyle w:val="99"/>
        <w:rPr>
          <w:rFonts w:ascii="Times New Roman" w:hAnsi="Times New Roman" w:eastAsia="Batang"/>
          <w:b/>
          <w:bCs/>
          <w:i w:val="0"/>
          <w:iCs/>
          <w:sz w:val="20"/>
          <w:szCs w:val="20"/>
          <w:lang w:val="en-US" w:eastAsia="zh-CN"/>
        </w:rPr>
      </w:pPr>
      <w:r>
        <w:rPr>
          <w:rFonts w:ascii="Times New Roman" w:hAnsi="Times New Roman" w:eastAsia="Batang"/>
          <w:b/>
          <w:bCs/>
          <w:i w:val="0"/>
          <w:iCs/>
          <w:sz w:val="20"/>
          <w:szCs w:val="20"/>
          <w:lang w:val="en-US" w:eastAsia="zh-CN"/>
        </w:rPr>
        <w:t>Proposal 3: SCG failure is triggered to report UL data arrival when SCG is suspended.</w:t>
      </w:r>
    </w:p>
    <w:p>
      <w:pPr>
        <w:pStyle w:val="99"/>
        <w:rPr>
          <w:rFonts w:ascii="Times New Roman" w:hAnsi="Times New Roman" w:eastAsia="Batang"/>
          <w:b/>
          <w:i w:val="0"/>
          <w:iCs/>
          <w:sz w:val="20"/>
          <w:szCs w:val="20"/>
          <w:lang w:val="en-US" w:eastAsia="zh-CN"/>
        </w:rPr>
      </w:pPr>
      <w:r>
        <w:rPr>
          <w:rFonts w:ascii="Times New Roman" w:hAnsi="Times New Roman" w:eastAsia="Batang"/>
          <w:b/>
          <w:i w:val="0"/>
          <w:iCs/>
          <w:sz w:val="20"/>
          <w:szCs w:val="20"/>
          <w:lang w:val="en-US" w:eastAsia="zh-CN"/>
        </w:rPr>
        <w:t>Proposal 4: Master node may continue to configure and obtain the measurements for the suspended SCG frequencies to enable it to make decisions regarding when and if to resume SCG bearers etc.</w:t>
      </w:r>
    </w:p>
    <w:p>
      <w:pPr>
        <w:pStyle w:val="99"/>
        <w:rPr>
          <w:rFonts w:ascii="Times New Roman" w:hAnsi="Times New Roman" w:eastAsia="Batang"/>
          <w:b w:val="0"/>
          <w:bCs w:val="0"/>
          <w:i w:val="0"/>
          <w:iCs/>
          <w:sz w:val="20"/>
          <w:szCs w:val="20"/>
          <w:lang w:val="en-US" w:eastAsia="zh-CN"/>
        </w:rPr>
      </w:pPr>
    </w:p>
    <w:p>
      <w:pPr>
        <w:pStyle w:val="99"/>
        <w:rPr>
          <w:rFonts w:ascii="Times New Roman" w:hAnsi="Times New Roman" w:eastAsia="Batang"/>
          <w:b w:val="0"/>
          <w:bCs w:val="0"/>
          <w:i w:val="0"/>
          <w:iCs/>
          <w:sz w:val="20"/>
          <w:szCs w:val="20"/>
          <w:lang w:val="en-US" w:eastAsia="zh-CN"/>
        </w:rPr>
      </w:pPr>
      <w:r>
        <w:rPr>
          <w:rFonts w:ascii="Times New Roman" w:hAnsi="Times New Roman" w:eastAsia="Batang"/>
          <w:b w:val="0"/>
          <w:bCs w:val="0"/>
          <w:i w:val="0"/>
          <w:iCs/>
          <w:sz w:val="20"/>
          <w:szCs w:val="20"/>
          <w:lang w:val="en-US" w:eastAsia="zh-CN"/>
        </w:rPr>
        <w:t>In summary, network can have flexibility to meet different scenarios as summarized in follow table</w:t>
      </w:r>
    </w:p>
    <w:tbl>
      <w:tblPr>
        <w:tblStyle w:val="66"/>
        <w:tblW w:w="96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2"/>
        <w:gridCol w:w="3730"/>
        <w:gridCol w:w="3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2" w:type="dxa"/>
          </w:tcPr>
          <w:p>
            <w:pPr>
              <w:pStyle w:val="99"/>
              <w:jc w:val="center"/>
              <w:rPr>
                <w:rFonts w:ascii="Times New Roman" w:hAnsi="Times New Roman" w:eastAsia="Batang"/>
                <w:b/>
                <w:bCs/>
                <w:i w:val="0"/>
                <w:iCs/>
                <w:sz w:val="20"/>
                <w:szCs w:val="20"/>
                <w:lang w:val="en-US" w:eastAsia="zh-CN"/>
              </w:rPr>
            </w:pPr>
            <w:r>
              <w:rPr>
                <w:rFonts w:ascii="Times New Roman" w:hAnsi="Times New Roman" w:eastAsia="Batang"/>
                <w:b/>
                <w:bCs/>
                <w:i w:val="0"/>
                <w:iCs/>
                <w:sz w:val="20"/>
                <w:szCs w:val="20"/>
                <w:lang w:val="en-US" w:eastAsia="zh-CN"/>
              </w:rPr>
              <w:t>operation</w:t>
            </w:r>
          </w:p>
        </w:tc>
        <w:tc>
          <w:tcPr>
            <w:tcW w:w="3730" w:type="dxa"/>
          </w:tcPr>
          <w:p>
            <w:pPr>
              <w:pStyle w:val="99"/>
              <w:jc w:val="center"/>
              <w:rPr>
                <w:rFonts w:ascii="Times New Roman" w:hAnsi="Times New Roman" w:eastAsia="Batang"/>
                <w:b/>
                <w:bCs/>
                <w:i w:val="0"/>
                <w:iCs/>
                <w:sz w:val="20"/>
                <w:szCs w:val="20"/>
                <w:lang w:val="en-US" w:eastAsia="zh-CN"/>
              </w:rPr>
            </w:pPr>
            <w:r>
              <w:rPr>
                <w:rFonts w:ascii="Times New Roman" w:hAnsi="Times New Roman" w:eastAsia="Batang"/>
                <w:b/>
                <w:bCs/>
                <w:i w:val="0"/>
                <w:iCs/>
                <w:sz w:val="20"/>
                <w:szCs w:val="20"/>
                <w:lang w:val="en-US" w:eastAsia="zh-CN"/>
              </w:rPr>
              <w:t>Scenarios</w:t>
            </w:r>
          </w:p>
        </w:tc>
        <w:tc>
          <w:tcPr>
            <w:tcW w:w="3211" w:type="dxa"/>
          </w:tcPr>
          <w:p>
            <w:pPr>
              <w:pStyle w:val="99"/>
              <w:jc w:val="center"/>
              <w:rPr>
                <w:rFonts w:ascii="Times New Roman" w:hAnsi="Times New Roman" w:eastAsia="Batang"/>
                <w:b/>
                <w:bCs/>
                <w:i w:val="0"/>
                <w:iCs/>
                <w:sz w:val="20"/>
                <w:szCs w:val="20"/>
                <w:lang w:val="en-US" w:eastAsia="zh-CN"/>
              </w:rPr>
            </w:pPr>
            <w:r>
              <w:rPr>
                <w:rFonts w:ascii="Times New Roman" w:hAnsi="Times New Roman" w:eastAsia="Batang"/>
                <w:b/>
                <w:bCs/>
                <w:i w:val="0"/>
                <w:iCs/>
                <w:sz w:val="20"/>
                <w:szCs w:val="20"/>
                <w:lang w:val="en-US" w:eastAsia="zh-CN"/>
              </w:rPr>
              <w:t>Impact on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2" w:type="dxa"/>
          </w:tcPr>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Reconfigure part or all SCG bearer to MCG bearer via resume message</w:t>
            </w:r>
          </w:p>
        </w:tc>
        <w:tc>
          <w:tcPr>
            <w:tcW w:w="3730" w:type="dxa"/>
          </w:tcPr>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DL data arrival for SCG bearers or UL data arrival, and blind reconfiguration is improper</w:t>
            </w:r>
          </w:p>
        </w:tc>
        <w:tc>
          <w:tcPr>
            <w:tcW w:w="3211" w:type="dxa"/>
          </w:tcPr>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Already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2" w:type="dxa"/>
          </w:tcPr>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 xml:space="preserve">Reconfigure SCG via resume message </w:t>
            </w:r>
          </w:p>
        </w:tc>
        <w:tc>
          <w:tcPr>
            <w:tcW w:w="3730" w:type="dxa"/>
          </w:tcPr>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DL/UL data arrival for SCG bearers, and blind reconfiguration is feasible</w:t>
            </w:r>
          </w:p>
        </w:tc>
        <w:tc>
          <w:tcPr>
            <w:tcW w:w="3211" w:type="dxa"/>
          </w:tcPr>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Already supported, either full or delta reconfiguration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2" w:type="dxa"/>
          </w:tcPr>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Reconfigure SCG after resume message</w:t>
            </w:r>
          </w:p>
        </w:tc>
        <w:tc>
          <w:tcPr>
            <w:tcW w:w="3730" w:type="dxa"/>
          </w:tcPr>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 xml:space="preserve">Blind reconfiguration is not appropriate, or unnecessary to reconfigure SCG via resume message </w:t>
            </w:r>
          </w:p>
        </w:tc>
        <w:tc>
          <w:tcPr>
            <w:tcW w:w="3211" w:type="dxa"/>
          </w:tcPr>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Already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2" w:type="dxa"/>
          </w:tcPr>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Suspend SCG and maintain SCG configuration</w:t>
            </w:r>
          </w:p>
        </w:tc>
        <w:tc>
          <w:tcPr>
            <w:tcW w:w="3730" w:type="dxa"/>
          </w:tcPr>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TAU, RNAU,or data transmission via MCG bearers only</w:t>
            </w:r>
          </w:p>
        </w:tc>
        <w:tc>
          <w:tcPr>
            <w:tcW w:w="3211" w:type="dxa"/>
          </w:tcPr>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 xml:space="preserve">In resume message, indicate UE to suspend SCG and maintain SCG configuration  </w:t>
            </w:r>
          </w:p>
          <w:p>
            <w:pPr>
              <w:pStyle w:val="99"/>
              <w:rPr>
                <w:rFonts w:ascii="Times New Roman" w:hAnsi="Times New Roman" w:eastAsia="Batang"/>
                <w:i w:val="0"/>
                <w:iCs/>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92" w:type="dxa"/>
          </w:tcPr>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Indicate UL data arrival on suspended SCG bearer</w:t>
            </w:r>
          </w:p>
        </w:tc>
        <w:tc>
          <w:tcPr>
            <w:tcW w:w="3730" w:type="dxa"/>
          </w:tcPr>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UL data over suspended SCG bearer</w:t>
            </w:r>
          </w:p>
        </w:tc>
        <w:tc>
          <w:tcPr>
            <w:tcW w:w="3211" w:type="dxa"/>
          </w:tcPr>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Provide an additional trigger for sending SCG failure indication</w:t>
            </w:r>
          </w:p>
        </w:tc>
      </w:tr>
    </w:tbl>
    <w:p>
      <w:pPr>
        <w:pStyle w:val="99"/>
        <w:rPr>
          <w:rFonts w:ascii="Times New Roman" w:hAnsi="Times New Roman" w:eastAsia="Batang"/>
          <w:b w:val="0"/>
          <w:bCs w:val="0"/>
          <w:i w:val="0"/>
          <w:iCs/>
          <w:sz w:val="20"/>
          <w:szCs w:val="20"/>
          <w:lang w:val="en-US" w:eastAsia="zh-CN"/>
        </w:rPr>
      </w:pPr>
    </w:p>
    <w:p>
      <w:pPr>
        <w:keepNext/>
        <w:keepLines/>
        <w:widowControl/>
        <w:numPr>
          <w:ilvl w:val="0"/>
          <w:numId w:val="2"/>
        </w:numPr>
        <w:pBdr>
          <w:top w:val="single" w:color="auto" w:sz="12" w:space="3"/>
        </w:pBdr>
        <w:overflowPunct w:val="0"/>
        <w:autoSpaceDE w:val="0"/>
        <w:autoSpaceDN w:val="0"/>
        <w:adjustRightInd w:val="0"/>
        <w:spacing w:before="240" w:after="180"/>
        <w:jc w:val="left"/>
        <w:textAlignment w:val="baseline"/>
        <w:outlineLvl w:val="0"/>
        <w:rPr>
          <w:rFonts w:ascii="Arial" w:hAnsi="Arial" w:cs="Arial"/>
          <w:kern w:val="0"/>
          <w:sz w:val="32"/>
          <w:szCs w:val="36"/>
        </w:rPr>
      </w:pPr>
      <w:r>
        <w:rPr>
          <w:rFonts w:ascii="Arial" w:hAnsi="Arial" w:cs="Arial"/>
          <w:kern w:val="0"/>
          <w:sz w:val="32"/>
          <w:szCs w:val="36"/>
        </w:rPr>
        <w:t>Reference</w:t>
      </w:r>
    </w:p>
    <w:p>
      <w:pPr>
        <w:pStyle w:val="99"/>
        <w:rPr>
          <w:rFonts w:ascii="Times New Roman" w:hAnsi="Times New Roman" w:eastAsia="Batang"/>
          <w:i w:val="0"/>
          <w:iCs/>
          <w:sz w:val="20"/>
          <w:szCs w:val="20"/>
          <w:lang w:val="en-US" w:eastAsia="zh-CN"/>
        </w:rPr>
      </w:pPr>
      <w:r>
        <w:rPr>
          <w:rFonts w:ascii="Times New Roman" w:hAnsi="Times New Roman" w:eastAsia="Batang"/>
          <w:i w:val="0"/>
          <w:iCs/>
          <w:sz w:val="20"/>
          <w:szCs w:val="20"/>
          <w:lang w:val="en-US" w:eastAsia="zh-CN"/>
        </w:rPr>
        <w:t xml:space="preserve">[1] </w:t>
      </w:r>
      <w:r>
        <w:rPr>
          <w:rFonts w:hint="eastAsia" w:ascii="Times New Roman" w:hAnsi="Times New Roman" w:eastAsia="Batang"/>
          <w:i w:val="0"/>
          <w:iCs/>
          <w:sz w:val="20"/>
          <w:szCs w:val="20"/>
          <w:lang w:val="en-US" w:eastAsia="zh-CN"/>
        </w:rPr>
        <w:t>R2-18xxxxx Summary of 103#50 NR_Late_Drop - MR-DC configuration in INACTIVE.doc</w:t>
      </w:r>
    </w:p>
    <w:sectPr>
      <w:headerReference r:id="rId3" w:type="default"/>
      <w:footerReference r:id="rId4" w:type="default"/>
      <w:footerReference r:id="rId5" w:type="even"/>
      <w:pgSz w:w="11906" w:h="16838"/>
      <w:pgMar w:top="1440" w:right="1274" w:bottom="1440" w:left="109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roman"/>
    <w:pitch w:val="default"/>
    <w:sig w:usb0="E00002FF" w:usb1="6AC7FDFB" w:usb2="00000012" w:usb3="00000000" w:csb0="4002009F" w:csb1="DFD70000"/>
  </w:font>
  <w:font w:name="Courier New">
    <w:panose1 w:val="02070309020205020404"/>
    <w:charset w:val="00"/>
    <w:family w:val="roma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86"/>
    <w:family w:val="swiss"/>
    <w:pitch w:val="default"/>
    <w:sig w:usb0="A00002EF" w:usb1="4000207B" w:usb2="00000000" w:usb3="00000000" w:csb0="2000009F" w:csb1="00000000"/>
  </w:font>
  <w:font w:name="DengXian">
    <w:altName w:val="宋体"/>
    <w:panose1 w:val="02010600030101010101"/>
    <w:charset w:val="86"/>
    <w:family w:val="script"/>
    <w:pitch w:val="default"/>
    <w:sig w:usb0="00000000" w:usb1="00000000" w:usb2="00000016" w:usb3="00000000" w:csb0="0004000F" w:csb1="00000000"/>
  </w:font>
  <w:font w:name="Consolas">
    <w:panose1 w:val="020B0609020204030204"/>
    <w:charset w:val="00"/>
    <w:family w:val="swiss"/>
    <w:pitch w:val="default"/>
    <w:sig w:usb0="A00002EF" w:usb1="4000204B" w:usb2="00000000" w:usb3="00000000" w:csb0="200000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Monotype Sorts">
    <w:altName w:val="Segoe UI Symbol"/>
    <w:panose1 w:val="00000000000000000000"/>
    <w:charset w:val="02"/>
    <w:family w:val="auto"/>
    <w:pitch w:val="default"/>
    <w:sig w:usb0="00000000" w:usb1="00000000" w:usb2="00000000" w:usb3="00000000" w:csb0="80000000" w:csb1="00000000"/>
  </w:font>
  <w:font w:name="PMingLiU">
    <w:panose1 w:val="02020500000000000000"/>
    <w:charset w:val="88"/>
    <w:family w:val="roman"/>
    <w:pitch w:val="default"/>
    <w:sig w:usb0="A00002FF" w:usb1="28CFFCFA" w:usb2="00000016" w:usb3="00000000" w:csb0="00100001" w:csb1="00000000"/>
  </w:font>
  <w:font w:name="DengXian Light">
    <w:altName w:val="宋体"/>
    <w:panose1 w:val="00000000000000000000"/>
    <w:charset w:val="86"/>
    <w:family w:val="auto"/>
    <w:pitch w:val="default"/>
    <w:sig w:usb0="00000000" w:usb1="00000000" w:usb2="00000016" w:usb3="00000000" w:csb0="0004000F" w:csb1="00000000"/>
  </w:font>
  <w:font w:name="Calibri Light">
    <w:panose1 w:val="020F0302020204030204"/>
    <w:charset w:val="00"/>
    <w:family w:val="swiss"/>
    <w:pitch w:val="default"/>
    <w:sig w:usb0="A00002EF" w:usb1="4000207B" w:usb2="00000000" w:usb3="00000000" w:csb0="2000019F" w:csb1="00000000"/>
  </w:font>
  <w:font w:name="Segoe UI Symbol">
    <w:panose1 w:val="020B0502040204020203"/>
    <w:charset w:val="00"/>
    <w:family w:val="auto"/>
    <w:pitch w:val="default"/>
    <w:sig w:usb0="8000006F" w:usb1="1200FBEF" w:usb2="0064C000" w:usb3="00000002" w:csb0="00000001" w:csb1="4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egoe UI Symbol">
    <w:panose1 w:val="020B0502040204020203"/>
    <w:charset w:val="02"/>
    <w:family w:val="auto"/>
    <w:pitch w:val="default"/>
    <w:sig w:usb0="8000006F" w:usb1="1200FBEF" w:usb2="0064C000" w:usb3="00000002" w:csb0="00000001" w:csb1="40000000"/>
  </w:font>
  <w:font w:name="Segoe UI">
    <w:panose1 w:val="020B0502040204020203"/>
    <w:charset w:val="00"/>
    <w:family w:val="swiss"/>
    <w:pitch w:val="default"/>
    <w:sig w:usb0="E10022FF" w:usb1="C000E47F" w:usb2="00000029" w:usb3="00000000" w:csb0="200001DF" w:csb1="2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MS Gothic">
    <w:panose1 w:val="020B0609070205080204"/>
    <w:charset w:val="80"/>
    <w:family w:val="modern"/>
    <w:pitch w:val="default"/>
    <w:sig w:usb0="E00002FF" w:usb1="6AC7FDFB" w:usb2="00000012" w:usb3="00000000" w:csb0="4002009F" w:csb1="DFD70000"/>
  </w:font>
  <w:font w:name="Segoe UI Emoji">
    <w:altName w:val="Segoe UI"/>
    <w:panose1 w:val="020B0502040204020203"/>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9"/>
      </w:rPr>
    </w:pPr>
    <w:r>
      <w:rPr>
        <w:rStyle w:val="59"/>
      </w:rPr>
      <w:fldChar w:fldCharType="begin"/>
    </w:r>
    <w:r>
      <w:rPr>
        <w:rStyle w:val="59"/>
      </w:rPr>
      <w:instrText xml:space="preserve">PAGE  </w:instrText>
    </w:r>
    <w:r>
      <w:rPr>
        <w:rStyle w:val="59"/>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lang w:val="en-US"/>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1004"/>
        </w:tabs>
        <w:ind w:left="1004"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59537AFC"/>
    <w:multiLevelType w:val="multilevel"/>
    <w:tmpl w:val="59537AFC"/>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doNotDisplayPageBoundarie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29F5"/>
    <w:rsid w:val="0000327B"/>
    <w:rsid w:val="00007B9F"/>
    <w:rsid w:val="00010521"/>
    <w:rsid w:val="0001197C"/>
    <w:rsid w:val="00020376"/>
    <w:rsid w:val="00020768"/>
    <w:rsid w:val="000248FC"/>
    <w:rsid w:val="0003356E"/>
    <w:rsid w:val="00035E4B"/>
    <w:rsid w:val="00035E75"/>
    <w:rsid w:val="0004110B"/>
    <w:rsid w:val="00041599"/>
    <w:rsid w:val="00045ABC"/>
    <w:rsid w:val="00046040"/>
    <w:rsid w:val="00046CEC"/>
    <w:rsid w:val="000550AD"/>
    <w:rsid w:val="000554A7"/>
    <w:rsid w:val="00056F17"/>
    <w:rsid w:val="00057F2D"/>
    <w:rsid w:val="00063486"/>
    <w:rsid w:val="0006519F"/>
    <w:rsid w:val="000659D0"/>
    <w:rsid w:val="00070CE4"/>
    <w:rsid w:val="00072899"/>
    <w:rsid w:val="00075F8E"/>
    <w:rsid w:val="00076D34"/>
    <w:rsid w:val="0008378D"/>
    <w:rsid w:val="00085FEE"/>
    <w:rsid w:val="00092939"/>
    <w:rsid w:val="0009553D"/>
    <w:rsid w:val="000A1491"/>
    <w:rsid w:val="000A5F3D"/>
    <w:rsid w:val="000B6DB0"/>
    <w:rsid w:val="000C1C2E"/>
    <w:rsid w:val="000C377B"/>
    <w:rsid w:val="000C3E81"/>
    <w:rsid w:val="000C4ECE"/>
    <w:rsid w:val="000C75D1"/>
    <w:rsid w:val="000D00E2"/>
    <w:rsid w:val="000D256C"/>
    <w:rsid w:val="000D33B4"/>
    <w:rsid w:val="000D4981"/>
    <w:rsid w:val="000D6145"/>
    <w:rsid w:val="000D70D2"/>
    <w:rsid w:val="000E7842"/>
    <w:rsid w:val="000E7C82"/>
    <w:rsid w:val="000F4A84"/>
    <w:rsid w:val="000F52A6"/>
    <w:rsid w:val="001010CF"/>
    <w:rsid w:val="0010129E"/>
    <w:rsid w:val="001042EF"/>
    <w:rsid w:val="00106204"/>
    <w:rsid w:val="001062FA"/>
    <w:rsid w:val="001120C0"/>
    <w:rsid w:val="00120FAB"/>
    <w:rsid w:val="00126145"/>
    <w:rsid w:val="00131352"/>
    <w:rsid w:val="00132487"/>
    <w:rsid w:val="00132A18"/>
    <w:rsid w:val="00133C66"/>
    <w:rsid w:val="00135A67"/>
    <w:rsid w:val="0013613D"/>
    <w:rsid w:val="00141C51"/>
    <w:rsid w:val="001427DB"/>
    <w:rsid w:val="00142861"/>
    <w:rsid w:val="00142CA6"/>
    <w:rsid w:val="00144966"/>
    <w:rsid w:val="00150C93"/>
    <w:rsid w:val="00153EE8"/>
    <w:rsid w:val="00154A7B"/>
    <w:rsid w:val="00161A7B"/>
    <w:rsid w:val="0016292A"/>
    <w:rsid w:val="00163E11"/>
    <w:rsid w:val="0016449A"/>
    <w:rsid w:val="0017037F"/>
    <w:rsid w:val="0017246F"/>
    <w:rsid w:val="00173B7F"/>
    <w:rsid w:val="0017558D"/>
    <w:rsid w:val="00176616"/>
    <w:rsid w:val="001767E6"/>
    <w:rsid w:val="00177545"/>
    <w:rsid w:val="00187D19"/>
    <w:rsid w:val="00190A8D"/>
    <w:rsid w:val="00196645"/>
    <w:rsid w:val="001A2862"/>
    <w:rsid w:val="001A592C"/>
    <w:rsid w:val="001A5C50"/>
    <w:rsid w:val="001A5F79"/>
    <w:rsid w:val="001B1345"/>
    <w:rsid w:val="001B21A1"/>
    <w:rsid w:val="001B3945"/>
    <w:rsid w:val="001B3E83"/>
    <w:rsid w:val="001B4240"/>
    <w:rsid w:val="001B5318"/>
    <w:rsid w:val="001B5944"/>
    <w:rsid w:val="001B6205"/>
    <w:rsid w:val="001C2D6D"/>
    <w:rsid w:val="001C300B"/>
    <w:rsid w:val="001C341F"/>
    <w:rsid w:val="001C3C56"/>
    <w:rsid w:val="001C7C54"/>
    <w:rsid w:val="001D6715"/>
    <w:rsid w:val="001E7025"/>
    <w:rsid w:val="001F2A54"/>
    <w:rsid w:val="001F3DF5"/>
    <w:rsid w:val="001F3DFF"/>
    <w:rsid w:val="001F536C"/>
    <w:rsid w:val="0020110B"/>
    <w:rsid w:val="0020278A"/>
    <w:rsid w:val="00202CA2"/>
    <w:rsid w:val="0021073A"/>
    <w:rsid w:val="00210B3C"/>
    <w:rsid w:val="00216B66"/>
    <w:rsid w:val="00220151"/>
    <w:rsid w:val="00221EB9"/>
    <w:rsid w:val="002229E7"/>
    <w:rsid w:val="0023012F"/>
    <w:rsid w:val="002313BC"/>
    <w:rsid w:val="00232941"/>
    <w:rsid w:val="002333B7"/>
    <w:rsid w:val="0023527F"/>
    <w:rsid w:val="002403FF"/>
    <w:rsid w:val="00240EBF"/>
    <w:rsid w:val="00240F04"/>
    <w:rsid w:val="00241AFD"/>
    <w:rsid w:val="00242E7A"/>
    <w:rsid w:val="00243807"/>
    <w:rsid w:val="002445ED"/>
    <w:rsid w:val="00244D42"/>
    <w:rsid w:val="00246131"/>
    <w:rsid w:val="00246B6B"/>
    <w:rsid w:val="00246DDD"/>
    <w:rsid w:val="002475C9"/>
    <w:rsid w:val="0025504F"/>
    <w:rsid w:val="00257317"/>
    <w:rsid w:val="0026157D"/>
    <w:rsid w:val="0026193E"/>
    <w:rsid w:val="00261D1A"/>
    <w:rsid w:val="00263635"/>
    <w:rsid w:val="002659D8"/>
    <w:rsid w:val="002670C3"/>
    <w:rsid w:val="00275621"/>
    <w:rsid w:val="002764DC"/>
    <w:rsid w:val="00277EBA"/>
    <w:rsid w:val="002806BF"/>
    <w:rsid w:val="002815E5"/>
    <w:rsid w:val="00281C99"/>
    <w:rsid w:val="00282074"/>
    <w:rsid w:val="00282E92"/>
    <w:rsid w:val="00292E7D"/>
    <w:rsid w:val="00293414"/>
    <w:rsid w:val="00293747"/>
    <w:rsid w:val="002A0D38"/>
    <w:rsid w:val="002A4502"/>
    <w:rsid w:val="002A6440"/>
    <w:rsid w:val="002A6F93"/>
    <w:rsid w:val="002B0006"/>
    <w:rsid w:val="002B0156"/>
    <w:rsid w:val="002B07EB"/>
    <w:rsid w:val="002B2145"/>
    <w:rsid w:val="002B30BD"/>
    <w:rsid w:val="002B5EA5"/>
    <w:rsid w:val="002B68E1"/>
    <w:rsid w:val="002B7AC4"/>
    <w:rsid w:val="002C09D5"/>
    <w:rsid w:val="002C0F12"/>
    <w:rsid w:val="002C1B4B"/>
    <w:rsid w:val="002C393C"/>
    <w:rsid w:val="002C39B5"/>
    <w:rsid w:val="002C6B41"/>
    <w:rsid w:val="002C734F"/>
    <w:rsid w:val="002D1699"/>
    <w:rsid w:val="002D35FA"/>
    <w:rsid w:val="002D4DEE"/>
    <w:rsid w:val="002E1006"/>
    <w:rsid w:val="002E5720"/>
    <w:rsid w:val="002F1D49"/>
    <w:rsid w:val="002F299E"/>
    <w:rsid w:val="002F4883"/>
    <w:rsid w:val="002F5517"/>
    <w:rsid w:val="002F7B77"/>
    <w:rsid w:val="003005EA"/>
    <w:rsid w:val="00300D64"/>
    <w:rsid w:val="00303EE1"/>
    <w:rsid w:val="00304344"/>
    <w:rsid w:val="0030445D"/>
    <w:rsid w:val="00312C1A"/>
    <w:rsid w:val="00312DD1"/>
    <w:rsid w:val="003142BE"/>
    <w:rsid w:val="003144CA"/>
    <w:rsid w:val="003154FB"/>
    <w:rsid w:val="0031572E"/>
    <w:rsid w:val="0031596F"/>
    <w:rsid w:val="003173DB"/>
    <w:rsid w:val="00317BC7"/>
    <w:rsid w:val="0032147C"/>
    <w:rsid w:val="00322CAB"/>
    <w:rsid w:val="00322CB8"/>
    <w:rsid w:val="003269FA"/>
    <w:rsid w:val="00327EBC"/>
    <w:rsid w:val="0033176D"/>
    <w:rsid w:val="00334BEA"/>
    <w:rsid w:val="00336B33"/>
    <w:rsid w:val="00340881"/>
    <w:rsid w:val="003408E0"/>
    <w:rsid w:val="00341FD3"/>
    <w:rsid w:val="0034298E"/>
    <w:rsid w:val="003431D3"/>
    <w:rsid w:val="00345D21"/>
    <w:rsid w:val="003471E8"/>
    <w:rsid w:val="003504B5"/>
    <w:rsid w:val="00352682"/>
    <w:rsid w:val="003546A6"/>
    <w:rsid w:val="00354860"/>
    <w:rsid w:val="003556A2"/>
    <w:rsid w:val="00357D6B"/>
    <w:rsid w:val="00361D90"/>
    <w:rsid w:val="003703FF"/>
    <w:rsid w:val="00370DBA"/>
    <w:rsid w:val="003739C2"/>
    <w:rsid w:val="00374728"/>
    <w:rsid w:val="003750ED"/>
    <w:rsid w:val="00375C1C"/>
    <w:rsid w:val="0038121D"/>
    <w:rsid w:val="00381403"/>
    <w:rsid w:val="00382B7D"/>
    <w:rsid w:val="00382E1D"/>
    <w:rsid w:val="003918C9"/>
    <w:rsid w:val="00391A05"/>
    <w:rsid w:val="00391FC1"/>
    <w:rsid w:val="00393799"/>
    <w:rsid w:val="00393C70"/>
    <w:rsid w:val="00393F9E"/>
    <w:rsid w:val="003972E7"/>
    <w:rsid w:val="003A1C2F"/>
    <w:rsid w:val="003A27B8"/>
    <w:rsid w:val="003A2A06"/>
    <w:rsid w:val="003A393E"/>
    <w:rsid w:val="003A6D6C"/>
    <w:rsid w:val="003B28C5"/>
    <w:rsid w:val="003B2C27"/>
    <w:rsid w:val="003B2C46"/>
    <w:rsid w:val="003B5AEE"/>
    <w:rsid w:val="003B729D"/>
    <w:rsid w:val="003C0199"/>
    <w:rsid w:val="003D1EE1"/>
    <w:rsid w:val="003D47D4"/>
    <w:rsid w:val="003D4F64"/>
    <w:rsid w:val="003E1F66"/>
    <w:rsid w:val="003E2B8B"/>
    <w:rsid w:val="003E7E8A"/>
    <w:rsid w:val="003F1D56"/>
    <w:rsid w:val="003F3649"/>
    <w:rsid w:val="003F448B"/>
    <w:rsid w:val="003F47F2"/>
    <w:rsid w:val="003F58F6"/>
    <w:rsid w:val="003F5C34"/>
    <w:rsid w:val="003F75C5"/>
    <w:rsid w:val="0040006F"/>
    <w:rsid w:val="00402575"/>
    <w:rsid w:val="00404814"/>
    <w:rsid w:val="00405B34"/>
    <w:rsid w:val="00411805"/>
    <w:rsid w:val="00413229"/>
    <w:rsid w:val="00415470"/>
    <w:rsid w:val="00416A5B"/>
    <w:rsid w:val="00417DC4"/>
    <w:rsid w:val="00420273"/>
    <w:rsid w:val="00420E34"/>
    <w:rsid w:val="00421C0E"/>
    <w:rsid w:val="00423CC5"/>
    <w:rsid w:val="00424EC4"/>
    <w:rsid w:val="0042746D"/>
    <w:rsid w:val="00427917"/>
    <w:rsid w:val="004306A1"/>
    <w:rsid w:val="00431033"/>
    <w:rsid w:val="004316C8"/>
    <w:rsid w:val="0043585A"/>
    <w:rsid w:val="004412A4"/>
    <w:rsid w:val="004413DA"/>
    <w:rsid w:val="00441BA6"/>
    <w:rsid w:val="004425C7"/>
    <w:rsid w:val="00446E78"/>
    <w:rsid w:val="004476B4"/>
    <w:rsid w:val="00450A8D"/>
    <w:rsid w:val="004527ED"/>
    <w:rsid w:val="00454AD8"/>
    <w:rsid w:val="00455438"/>
    <w:rsid w:val="00457647"/>
    <w:rsid w:val="0046088D"/>
    <w:rsid w:val="00470E1A"/>
    <w:rsid w:val="00471928"/>
    <w:rsid w:val="004767D6"/>
    <w:rsid w:val="0048006F"/>
    <w:rsid w:val="00481636"/>
    <w:rsid w:val="00484A9C"/>
    <w:rsid w:val="00491810"/>
    <w:rsid w:val="00494C3E"/>
    <w:rsid w:val="00497FE6"/>
    <w:rsid w:val="004A0053"/>
    <w:rsid w:val="004A4E15"/>
    <w:rsid w:val="004B04BA"/>
    <w:rsid w:val="004B2367"/>
    <w:rsid w:val="004B28D4"/>
    <w:rsid w:val="004B2B05"/>
    <w:rsid w:val="004B3DBA"/>
    <w:rsid w:val="004B46FC"/>
    <w:rsid w:val="004B5C1F"/>
    <w:rsid w:val="004B639E"/>
    <w:rsid w:val="004B747E"/>
    <w:rsid w:val="004B7DED"/>
    <w:rsid w:val="004C16F8"/>
    <w:rsid w:val="004C4896"/>
    <w:rsid w:val="004C63EE"/>
    <w:rsid w:val="004D04FD"/>
    <w:rsid w:val="004D1EE6"/>
    <w:rsid w:val="004D4FD5"/>
    <w:rsid w:val="004D7A2F"/>
    <w:rsid w:val="004E161C"/>
    <w:rsid w:val="004E5E4F"/>
    <w:rsid w:val="004F13D6"/>
    <w:rsid w:val="004F29F8"/>
    <w:rsid w:val="004F54BD"/>
    <w:rsid w:val="004F55AC"/>
    <w:rsid w:val="004F6414"/>
    <w:rsid w:val="0050026E"/>
    <w:rsid w:val="00500F67"/>
    <w:rsid w:val="00503D52"/>
    <w:rsid w:val="00504872"/>
    <w:rsid w:val="005069B3"/>
    <w:rsid w:val="0051029C"/>
    <w:rsid w:val="005102D2"/>
    <w:rsid w:val="00510313"/>
    <w:rsid w:val="00510E64"/>
    <w:rsid w:val="0051197B"/>
    <w:rsid w:val="00514506"/>
    <w:rsid w:val="00516035"/>
    <w:rsid w:val="00517A06"/>
    <w:rsid w:val="005223D6"/>
    <w:rsid w:val="005224F7"/>
    <w:rsid w:val="00523127"/>
    <w:rsid w:val="005234BF"/>
    <w:rsid w:val="005242F5"/>
    <w:rsid w:val="0053001B"/>
    <w:rsid w:val="00533AC4"/>
    <w:rsid w:val="00542B72"/>
    <w:rsid w:val="00544705"/>
    <w:rsid w:val="0054679F"/>
    <w:rsid w:val="00550AA1"/>
    <w:rsid w:val="00551048"/>
    <w:rsid w:val="00553A6D"/>
    <w:rsid w:val="00554B77"/>
    <w:rsid w:val="00554D30"/>
    <w:rsid w:val="00554FB5"/>
    <w:rsid w:val="00556E78"/>
    <w:rsid w:val="0056030C"/>
    <w:rsid w:val="00561349"/>
    <w:rsid w:val="0056230A"/>
    <w:rsid w:val="00562A73"/>
    <w:rsid w:val="0056458D"/>
    <w:rsid w:val="00567A9A"/>
    <w:rsid w:val="00570A42"/>
    <w:rsid w:val="00573990"/>
    <w:rsid w:val="00574CE0"/>
    <w:rsid w:val="00575777"/>
    <w:rsid w:val="00576DB6"/>
    <w:rsid w:val="00577C27"/>
    <w:rsid w:val="00581583"/>
    <w:rsid w:val="00582627"/>
    <w:rsid w:val="00582C38"/>
    <w:rsid w:val="00582FE4"/>
    <w:rsid w:val="005835B1"/>
    <w:rsid w:val="00584E88"/>
    <w:rsid w:val="00590592"/>
    <w:rsid w:val="00592D17"/>
    <w:rsid w:val="0059340F"/>
    <w:rsid w:val="0059390C"/>
    <w:rsid w:val="0059566C"/>
    <w:rsid w:val="005A0BD2"/>
    <w:rsid w:val="005A15EA"/>
    <w:rsid w:val="005A30B0"/>
    <w:rsid w:val="005A314D"/>
    <w:rsid w:val="005A3421"/>
    <w:rsid w:val="005A6F5A"/>
    <w:rsid w:val="005B132D"/>
    <w:rsid w:val="005B6634"/>
    <w:rsid w:val="005B75EA"/>
    <w:rsid w:val="005B773A"/>
    <w:rsid w:val="005C20A4"/>
    <w:rsid w:val="005C3282"/>
    <w:rsid w:val="005C3808"/>
    <w:rsid w:val="005C39CB"/>
    <w:rsid w:val="005D17A6"/>
    <w:rsid w:val="005D5859"/>
    <w:rsid w:val="005D680C"/>
    <w:rsid w:val="005D7B6A"/>
    <w:rsid w:val="005D7DDA"/>
    <w:rsid w:val="005D7E00"/>
    <w:rsid w:val="005E0D76"/>
    <w:rsid w:val="005E2171"/>
    <w:rsid w:val="005E795A"/>
    <w:rsid w:val="005E7992"/>
    <w:rsid w:val="005F07D6"/>
    <w:rsid w:val="005F1341"/>
    <w:rsid w:val="005F1FAE"/>
    <w:rsid w:val="005F41DE"/>
    <w:rsid w:val="005F43D2"/>
    <w:rsid w:val="005F55EF"/>
    <w:rsid w:val="005F56A6"/>
    <w:rsid w:val="006003B6"/>
    <w:rsid w:val="00600A5D"/>
    <w:rsid w:val="00600B3C"/>
    <w:rsid w:val="006012C6"/>
    <w:rsid w:val="00603239"/>
    <w:rsid w:val="00603E72"/>
    <w:rsid w:val="00604517"/>
    <w:rsid w:val="00606291"/>
    <w:rsid w:val="00606A93"/>
    <w:rsid w:val="00611057"/>
    <w:rsid w:val="0061194E"/>
    <w:rsid w:val="00613508"/>
    <w:rsid w:val="0061372B"/>
    <w:rsid w:val="00614330"/>
    <w:rsid w:val="006145D2"/>
    <w:rsid w:val="00616919"/>
    <w:rsid w:val="00617630"/>
    <w:rsid w:val="00617EC7"/>
    <w:rsid w:val="00620346"/>
    <w:rsid w:val="0062274D"/>
    <w:rsid w:val="00622B78"/>
    <w:rsid w:val="00627B38"/>
    <w:rsid w:val="00630108"/>
    <w:rsid w:val="00632062"/>
    <w:rsid w:val="00635814"/>
    <w:rsid w:val="00636587"/>
    <w:rsid w:val="00637147"/>
    <w:rsid w:val="00637D02"/>
    <w:rsid w:val="00640A82"/>
    <w:rsid w:val="00643CD5"/>
    <w:rsid w:val="00645A47"/>
    <w:rsid w:val="006503F8"/>
    <w:rsid w:val="00650E7E"/>
    <w:rsid w:val="00651856"/>
    <w:rsid w:val="006521E7"/>
    <w:rsid w:val="006525C1"/>
    <w:rsid w:val="00654C9C"/>
    <w:rsid w:val="0066090A"/>
    <w:rsid w:val="006616D1"/>
    <w:rsid w:val="00662061"/>
    <w:rsid w:val="00664B7C"/>
    <w:rsid w:val="00671838"/>
    <w:rsid w:val="0067460F"/>
    <w:rsid w:val="0067473D"/>
    <w:rsid w:val="00674C07"/>
    <w:rsid w:val="0067540D"/>
    <w:rsid w:val="006763B3"/>
    <w:rsid w:val="00680B9D"/>
    <w:rsid w:val="00683933"/>
    <w:rsid w:val="00683C3D"/>
    <w:rsid w:val="00685358"/>
    <w:rsid w:val="00690BB8"/>
    <w:rsid w:val="00693A84"/>
    <w:rsid w:val="00693EB3"/>
    <w:rsid w:val="006941AF"/>
    <w:rsid w:val="006946C9"/>
    <w:rsid w:val="006963B4"/>
    <w:rsid w:val="006A11C9"/>
    <w:rsid w:val="006B3867"/>
    <w:rsid w:val="006B41E4"/>
    <w:rsid w:val="006B48F1"/>
    <w:rsid w:val="006B5411"/>
    <w:rsid w:val="006B6B05"/>
    <w:rsid w:val="006C02E7"/>
    <w:rsid w:val="006C243F"/>
    <w:rsid w:val="006C3E1B"/>
    <w:rsid w:val="006C60A2"/>
    <w:rsid w:val="006C77A6"/>
    <w:rsid w:val="006D5D31"/>
    <w:rsid w:val="006D7CA8"/>
    <w:rsid w:val="006E0263"/>
    <w:rsid w:val="006E36C6"/>
    <w:rsid w:val="006E617A"/>
    <w:rsid w:val="006E77B0"/>
    <w:rsid w:val="006F1607"/>
    <w:rsid w:val="006F2F7E"/>
    <w:rsid w:val="006F535D"/>
    <w:rsid w:val="00700EBE"/>
    <w:rsid w:val="0070166D"/>
    <w:rsid w:val="007022D2"/>
    <w:rsid w:val="0070320E"/>
    <w:rsid w:val="007038CE"/>
    <w:rsid w:val="00704C58"/>
    <w:rsid w:val="00706669"/>
    <w:rsid w:val="00706A72"/>
    <w:rsid w:val="0070710A"/>
    <w:rsid w:val="00707C22"/>
    <w:rsid w:val="007154D8"/>
    <w:rsid w:val="00716D08"/>
    <w:rsid w:val="00717E62"/>
    <w:rsid w:val="0072273D"/>
    <w:rsid w:val="00726956"/>
    <w:rsid w:val="00726958"/>
    <w:rsid w:val="007272FE"/>
    <w:rsid w:val="00732FF6"/>
    <w:rsid w:val="00733630"/>
    <w:rsid w:val="007336D2"/>
    <w:rsid w:val="00735FBA"/>
    <w:rsid w:val="00740A57"/>
    <w:rsid w:val="00740F48"/>
    <w:rsid w:val="0074310F"/>
    <w:rsid w:val="00744B66"/>
    <w:rsid w:val="00745AFD"/>
    <w:rsid w:val="00746784"/>
    <w:rsid w:val="007476DF"/>
    <w:rsid w:val="0075092B"/>
    <w:rsid w:val="007513CE"/>
    <w:rsid w:val="00751463"/>
    <w:rsid w:val="00752660"/>
    <w:rsid w:val="007578A9"/>
    <w:rsid w:val="00763272"/>
    <w:rsid w:val="007647EB"/>
    <w:rsid w:val="0076551A"/>
    <w:rsid w:val="00771468"/>
    <w:rsid w:val="00774E1F"/>
    <w:rsid w:val="00775D23"/>
    <w:rsid w:val="00776B11"/>
    <w:rsid w:val="00777601"/>
    <w:rsid w:val="00783A6F"/>
    <w:rsid w:val="0078605D"/>
    <w:rsid w:val="007862C8"/>
    <w:rsid w:val="007869B7"/>
    <w:rsid w:val="00786DCA"/>
    <w:rsid w:val="00790065"/>
    <w:rsid w:val="0079127D"/>
    <w:rsid w:val="0079274F"/>
    <w:rsid w:val="00793203"/>
    <w:rsid w:val="00795AF0"/>
    <w:rsid w:val="00795F4B"/>
    <w:rsid w:val="00796235"/>
    <w:rsid w:val="00796A2A"/>
    <w:rsid w:val="007A07F4"/>
    <w:rsid w:val="007A1B40"/>
    <w:rsid w:val="007A2528"/>
    <w:rsid w:val="007A2A69"/>
    <w:rsid w:val="007A2F07"/>
    <w:rsid w:val="007A46FE"/>
    <w:rsid w:val="007A621C"/>
    <w:rsid w:val="007A633A"/>
    <w:rsid w:val="007B143B"/>
    <w:rsid w:val="007B1D5D"/>
    <w:rsid w:val="007B3B11"/>
    <w:rsid w:val="007B6C64"/>
    <w:rsid w:val="007C0F3B"/>
    <w:rsid w:val="007C29B8"/>
    <w:rsid w:val="007C29DA"/>
    <w:rsid w:val="007C33E4"/>
    <w:rsid w:val="007D0510"/>
    <w:rsid w:val="007D4BEB"/>
    <w:rsid w:val="007D6EB5"/>
    <w:rsid w:val="007E17B1"/>
    <w:rsid w:val="007E205C"/>
    <w:rsid w:val="007E279E"/>
    <w:rsid w:val="007E771D"/>
    <w:rsid w:val="007F19F0"/>
    <w:rsid w:val="007F28F1"/>
    <w:rsid w:val="007F2B9F"/>
    <w:rsid w:val="007F3A42"/>
    <w:rsid w:val="008025BC"/>
    <w:rsid w:val="0080343F"/>
    <w:rsid w:val="00803F8F"/>
    <w:rsid w:val="00816F96"/>
    <w:rsid w:val="00820527"/>
    <w:rsid w:val="0082142C"/>
    <w:rsid w:val="008219E8"/>
    <w:rsid w:val="00825FA8"/>
    <w:rsid w:val="00826140"/>
    <w:rsid w:val="008310F9"/>
    <w:rsid w:val="00835B87"/>
    <w:rsid w:val="00836B27"/>
    <w:rsid w:val="008370E2"/>
    <w:rsid w:val="008373B8"/>
    <w:rsid w:val="00837C9F"/>
    <w:rsid w:val="00840052"/>
    <w:rsid w:val="0084040B"/>
    <w:rsid w:val="008409D6"/>
    <w:rsid w:val="00841712"/>
    <w:rsid w:val="00842C88"/>
    <w:rsid w:val="00844297"/>
    <w:rsid w:val="0085330E"/>
    <w:rsid w:val="008539F6"/>
    <w:rsid w:val="008555B6"/>
    <w:rsid w:val="0086013C"/>
    <w:rsid w:val="0086175C"/>
    <w:rsid w:val="00865BDA"/>
    <w:rsid w:val="0086604C"/>
    <w:rsid w:val="00866F7C"/>
    <w:rsid w:val="0086734E"/>
    <w:rsid w:val="00870F41"/>
    <w:rsid w:val="008715B5"/>
    <w:rsid w:val="00872250"/>
    <w:rsid w:val="00873CF1"/>
    <w:rsid w:val="00874B5A"/>
    <w:rsid w:val="00880131"/>
    <w:rsid w:val="00881F64"/>
    <w:rsid w:val="00883BC1"/>
    <w:rsid w:val="00884418"/>
    <w:rsid w:val="00884780"/>
    <w:rsid w:val="00884C67"/>
    <w:rsid w:val="008910F6"/>
    <w:rsid w:val="008929D9"/>
    <w:rsid w:val="0089518D"/>
    <w:rsid w:val="0089684B"/>
    <w:rsid w:val="00897948"/>
    <w:rsid w:val="00897FCC"/>
    <w:rsid w:val="008A3E3D"/>
    <w:rsid w:val="008A4D5F"/>
    <w:rsid w:val="008A6C3B"/>
    <w:rsid w:val="008C1457"/>
    <w:rsid w:val="008C7492"/>
    <w:rsid w:val="008D3A05"/>
    <w:rsid w:val="008D681A"/>
    <w:rsid w:val="008D6AE3"/>
    <w:rsid w:val="008D6B1A"/>
    <w:rsid w:val="008E010A"/>
    <w:rsid w:val="008E025C"/>
    <w:rsid w:val="008E03AA"/>
    <w:rsid w:val="008E137E"/>
    <w:rsid w:val="008E1BC8"/>
    <w:rsid w:val="008E32AE"/>
    <w:rsid w:val="008E56D9"/>
    <w:rsid w:val="008F084F"/>
    <w:rsid w:val="008F0F7E"/>
    <w:rsid w:val="008F1E70"/>
    <w:rsid w:val="008F1ECC"/>
    <w:rsid w:val="008F34CF"/>
    <w:rsid w:val="008F58E9"/>
    <w:rsid w:val="0090026E"/>
    <w:rsid w:val="00900C70"/>
    <w:rsid w:val="00901E0E"/>
    <w:rsid w:val="00903469"/>
    <w:rsid w:val="0090417C"/>
    <w:rsid w:val="00910FC4"/>
    <w:rsid w:val="009128FF"/>
    <w:rsid w:val="00913D51"/>
    <w:rsid w:val="009141B2"/>
    <w:rsid w:val="009174B2"/>
    <w:rsid w:val="00921128"/>
    <w:rsid w:val="00921C16"/>
    <w:rsid w:val="00925BDD"/>
    <w:rsid w:val="0092689A"/>
    <w:rsid w:val="00927211"/>
    <w:rsid w:val="00931A8E"/>
    <w:rsid w:val="00942D49"/>
    <w:rsid w:val="00947F63"/>
    <w:rsid w:val="009534FB"/>
    <w:rsid w:val="009535EC"/>
    <w:rsid w:val="00957691"/>
    <w:rsid w:val="00957A33"/>
    <w:rsid w:val="0096003B"/>
    <w:rsid w:val="0096081E"/>
    <w:rsid w:val="00961E92"/>
    <w:rsid w:val="00965E0D"/>
    <w:rsid w:val="009667EA"/>
    <w:rsid w:val="00966803"/>
    <w:rsid w:val="00971DDC"/>
    <w:rsid w:val="00971F01"/>
    <w:rsid w:val="0097625D"/>
    <w:rsid w:val="009773FC"/>
    <w:rsid w:val="009857F0"/>
    <w:rsid w:val="00986B3C"/>
    <w:rsid w:val="00991070"/>
    <w:rsid w:val="00991E30"/>
    <w:rsid w:val="00992DCD"/>
    <w:rsid w:val="00994389"/>
    <w:rsid w:val="009A3633"/>
    <w:rsid w:val="009A4365"/>
    <w:rsid w:val="009A4A7F"/>
    <w:rsid w:val="009A52C8"/>
    <w:rsid w:val="009A6C5B"/>
    <w:rsid w:val="009A7034"/>
    <w:rsid w:val="009A7CDB"/>
    <w:rsid w:val="009B6AF9"/>
    <w:rsid w:val="009C02B2"/>
    <w:rsid w:val="009C09F6"/>
    <w:rsid w:val="009C1AF8"/>
    <w:rsid w:val="009C2509"/>
    <w:rsid w:val="009C3099"/>
    <w:rsid w:val="009C378B"/>
    <w:rsid w:val="009C3AD7"/>
    <w:rsid w:val="009C5DAA"/>
    <w:rsid w:val="009D2449"/>
    <w:rsid w:val="009D3DCC"/>
    <w:rsid w:val="009D3E72"/>
    <w:rsid w:val="009D49B5"/>
    <w:rsid w:val="009D6A06"/>
    <w:rsid w:val="009D7F53"/>
    <w:rsid w:val="009E2295"/>
    <w:rsid w:val="009E28D0"/>
    <w:rsid w:val="009E4A0B"/>
    <w:rsid w:val="009E4C76"/>
    <w:rsid w:val="009E4CC7"/>
    <w:rsid w:val="009E6B60"/>
    <w:rsid w:val="009E748B"/>
    <w:rsid w:val="009F1A0B"/>
    <w:rsid w:val="009F37AE"/>
    <w:rsid w:val="009F47E5"/>
    <w:rsid w:val="009F6B32"/>
    <w:rsid w:val="00A0230D"/>
    <w:rsid w:val="00A1112D"/>
    <w:rsid w:val="00A11336"/>
    <w:rsid w:val="00A11C2E"/>
    <w:rsid w:val="00A13881"/>
    <w:rsid w:val="00A13B3F"/>
    <w:rsid w:val="00A14A3F"/>
    <w:rsid w:val="00A15DA4"/>
    <w:rsid w:val="00A17302"/>
    <w:rsid w:val="00A1764A"/>
    <w:rsid w:val="00A20FCB"/>
    <w:rsid w:val="00A22250"/>
    <w:rsid w:val="00A2342B"/>
    <w:rsid w:val="00A24462"/>
    <w:rsid w:val="00A25A62"/>
    <w:rsid w:val="00A25CCF"/>
    <w:rsid w:val="00A261AF"/>
    <w:rsid w:val="00A30233"/>
    <w:rsid w:val="00A357C5"/>
    <w:rsid w:val="00A35FFD"/>
    <w:rsid w:val="00A37402"/>
    <w:rsid w:val="00A409A6"/>
    <w:rsid w:val="00A41806"/>
    <w:rsid w:val="00A4181F"/>
    <w:rsid w:val="00A44BE1"/>
    <w:rsid w:val="00A454AC"/>
    <w:rsid w:val="00A45D67"/>
    <w:rsid w:val="00A50A3E"/>
    <w:rsid w:val="00A51766"/>
    <w:rsid w:val="00A520B3"/>
    <w:rsid w:val="00A54C60"/>
    <w:rsid w:val="00A5544C"/>
    <w:rsid w:val="00A56151"/>
    <w:rsid w:val="00A61703"/>
    <w:rsid w:val="00A61AE3"/>
    <w:rsid w:val="00A642B8"/>
    <w:rsid w:val="00A64ACA"/>
    <w:rsid w:val="00A6615F"/>
    <w:rsid w:val="00A66BD1"/>
    <w:rsid w:val="00A72CC9"/>
    <w:rsid w:val="00A73D1A"/>
    <w:rsid w:val="00A755A8"/>
    <w:rsid w:val="00A755C2"/>
    <w:rsid w:val="00A76DAD"/>
    <w:rsid w:val="00A77E79"/>
    <w:rsid w:val="00A8286E"/>
    <w:rsid w:val="00A83EB3"/>
    <w:rsid w:val="00A86331"/>
    <w:rsid w:val="00A93D9F"/>
    <w:rsid w:val="00A93DF5"/>
    <w:rsid w:val="00A945E9"/>
    <w:rsid w:val="00A95088"/>
    <w:rsid w:val="00A957EB"/>
    <w:rsid w:val="00A96679"/>
    <w:rsid w:val="00A97AD8"/>
    <w:rsid w:val="00AA17BC"/>
    <w:rsid w:val="00AA26CD"/>
    <w:rsid w:val="00AA2E95"/>
    <w:rsid w:val="00AA3245"/>
    <w:rsid w:val="00AA493D"/>
    <w:rsid w:val="00AA4E40"/>
    <w:rsid w:val="00AA5974"/>
    <w:rsid w:val="00AA5CDB"/>
    <w:rsid w:val="00AA6A41"/>
    <w:rsid w:val="00AB0787"/>
    <w:rsid w:val="00AB1EA3"/>
    <w:rsid w:val="00AB4C8D"/>
    <w:rsid w:val="00AC0DEE"/>
    <w:rsid w:val="00AC2A57"/>
    <w:rsid w:val="00AC30FB"/>
    <w:rsid w:val="00AC4276"/>
    <w:rsid w:val="00AC5201"/>
    <w:rsid w:val="00AC66A6"/>
    <w:rsid w:val="00AD40D1"/>
    <w:rsid w:val="00AD4741"/>
    <w:rsid w:val="00AD6DD9"/>
    <w:rsid w:val="00AD7AC6"/>
    <w:rsid w:val="00AE0F69"/>
    <w:rsid w:val="00AE1415"/>
    <w:rsid w:val="00AE2A42"/>
    <w:rsid w:val="00AE4B71"/>
    <w:rsid w:val="00AE568E"/>
    <w:rsid w:val="00AE7438"/>
    <w:rsid w:val="00AF0A70"/>
    <w:rsid w:val="00AF1C7A"/>
    <w:rsid w:val="00AF5B4E"/>
    <w:rsid w:val="00AF76CD"/>
    <w:rsid w:val="00B0102B"/>
    <w:rsid w:val="00B01B4C"/>
    <w:rsid w:val="00B0232D"/>
    <w:rsid w:val="00B043F7"/>
    <w:rsid w:val="00B066B5"/>
    <w:rsid w:val="00B06F45"/>
    <w:rsid w:val="00B07968"/>
    <w:rsid w:val="00B07C8B"/>
    <w:rsid w:val="00B10E3F"/>
    <w:rsid w:val="00B12666"/>
    <w:rsid w:val="00B13857"/>
    <w:rsid w:val="00B16808"/>
    <w:rsid w:val="00B16F65"/>
    <w:rsid w:val="00B17C99"/>
    <w:rsid w:val="00B22A25"/>
    <w:rsid w:val="00B22CBB"/>
    <w:rsid w:val="00B23604"/>
    <w:rsid w:val="00B267F6"/>
    <w:rsid w:val="00B27044"/>
    <w:rsid w:val="00B301B3"/>
    <w:rsid w:val="00B3329C"/>
    <w:rsid w:val="00B36798"/>
    <w:rsid w:val="00B40CD5"/>
    <w:rsid w:val="00B4370B"/>
    <w:rsid w:val="00B450B2"/>
    <w:rsid w:val="00B45924"/>
    <w:rsid w:val="00B45F56"/>
    <w:rsid w:val="00B47749"/>
    <w:rsid w:val="00B50365"/>
    <w:rsid w:val="00B51CFF"/>
    <w:rsid w:val="00B541B9"/>
    <w:rsid w:val="00B5444C"/>
    <w:rsid w:val="00B54C14"/>
    <w:rsid w:val="00B56D60"/>
    <w:rsid w:val="00B62A78"/>
    <w:rsid w:val="00B63EA1"/>
    <w:rsid w:val="00B651CF"/>
    <w:rsid w:val="00B670CE"/>
    <w:rsid w:val="00B728A6"/>
    <w:rsid w:val="00B75827"/>
    <w:rsid w:val="00B76D1A"/>
    <w:rsid w:val="00B810CA"/>
    <w:rsid w:val="00B82689"/>
    <w:rsid w:val="00B8293D"/>
    <w:rsid w:val="00B832BB"/>
    <w:rsid w:val="00B84661"/>
    <w:rsid w:val="00B86E09"/>
    <w:rsid w:val="00B87264"/>
    <w:rsid w:val="00B92F48"/>
    <w:rsid w:val="00B930C7"/>
    <w:rsid w:val="00B953D7"/>
    <w:rsid w:val="00B955A1"/>
    <w:rsid w:val="00B95677"/>
    <w:rsid w:val="00B95A62"/>
    <w:rsid w:val="00BA039B"/>
    <w:rsid w:val="00BA068A"/>
    <w:rsid w:val="00BA17AD"/>
    <w:rsid w:val="00BA1AA2"/>
    <w:rsid w:val="00BA3268"/>
    <w:rsid w:val="00BA43D5"/>
    <w:rsid w:val="00BA4A05"/>
    <w:rsid w:val="00BA4E28"/>
    <w:rsid w:val="00BB1CB1"/>
    <w:rsid w:val="00BB1D84"/>
    <w:rsid w:val="00BB2958"/>
    <w:rsid w:val="00BB2DAF"/>
    <w:rsid w:val="00BB2F11"/>
    <w:rsid w:val="00BC02D7"/>
    <w:rsid w:val="00BC2B39"/>
    <w:rsid w:val="00BC2D28"/>
    <w:rsid w:val="00BC590F"/>
    <w:rsid w:val="00BC60AD"/>
    <w:rsid w:val="00BD2833"/>
    <w:rsid w:val="00BD4910"/>
    <w:rsid w:val="00BE0A34"/>
    <w:rsid w:val="00BE353E"/>
    <w:rsid w:val="00BE4C0C"/>
    <w:rsid w:val="00BE71F1"/>
    <w:rsid w:val="00BF2408"/>
    <w:rsid w:val="00BF4F25"/>
    <w:rsid w:val="00BF5792"/>
    <w:rsid w:val="00BF63E2"/>
    <w:rsid w:val="00BF6542"/>
    <w:rsid w:val="00BF7043"/>
    <w:rsid w:val="00C00976"/>
    <w:rsid w:val="00C00D3B"/>
    <w:rsid w:val="00C058FB"/>
    <w:rsid w:val="00C05AB5"/>
    <w:rsid w:val="00C12B3D"/>
    <w:rsid w:val="00C16E8B"/>
    <w:rsid w:val="00C20ABB"/>
    <w:rsid w:val="00C21A04"/>
    <w:rsid w:val="00C25578"/>
    <w:rsid w:val="00C31D24"/>
    <w:rsid w:val="00C34131"/>
    <w:rsid w:val="00C3442D"/>
    <w:rsid w:val="00C347B8"/>
    <w:rsid w:val="00C35965"/>
    <w:rsid w:val="00C50168"/>
    <w:rsid w:val="00C50824"/>
    <w:rsid w:val="00C52737"/>
    <w:rsid w:val="00C53622"/>
    <w:rsid w:val="00C54982"/>
    <w:rsid w:val="00C54A61"/>
    <w:rsid w:val="00C55099"/>
    <w:rsid w:val="00C640E8"/>
    <w:rsid w:val="00C665AF"/>
    <w:rsid w:val="00C67429"/>
    <w:rsid w:val="00C67457"/>
    <w:rsid w:val="00C70AC8"/>
    <w:rsid w:val="00C743BD"/>
    <w:rsid w:val="00C74ACB"/>
    <w:rsid w:val="00C7510E"/>
    <w:rsid w:val="00C76DB3"/>
    <w:rsid w:val="00C77AE6"/>
    <w:rsid w:val="00C803DE"/>
    <w:rsid w:val="00C82FF9"/>
    <w:rsid w:val="00C85E0E"/>
    <w:rsid w:val="00C86397"/>
    <w:rsid w:val="00C87170"/>
    <w:rsid w:val="00C9399C"/>
    <w:rsid w:val="00C93EDD"/>
    <w:rsid w:val="00C94962"/>
    <w:rsid w:val="00C94FCD"/>
    <w:rsid w:val="00C953EF"/>
    <w:rsid w:val="00C97C76"/>
    <w:rsid w:val="00CA4859"/>
    <w:rsid w:val="00CA501F"/>
    <w:rsid w:val="00CA68C4"/>
    <w:rsid w:val="00CB002F"/>
    <w:rsid w:val="00CB2F11"/>
    <w:rsid w:val="00CC06AA"/>
    <w:rsid w:val="00CC1C16"/>
    <w:rsid w:val="00CC262D"/>
    <w:rsid w:val="00CC492F"/>
    <w:rsid w:val="00CC5B71"/>
    <w:rsid w:val="00CD2521"/>
    <w:rsid w:val="00CD3F59"/>
    <w:rsid w:val="00CD5A12"/>
    <w:rsid w:val="00CD741F"/>
    <w:rsid w:val="00CD7B31"/>
    <w:rsid w:val="00CD7B6B"/>
    <w:rsid w:val="00CD7D6C"/>
    <w:rsid w:val="00CE6418"/>
    <w:rsid w:val="00CF356A"/>
    <w:rsid w:val="00CF4BCA"/>
    <w:rsid w:val="00CF6529"/>
    <w:rsid w:val="00CF7644"/>
    <w:rsid w:val="00CF77E4"/>
    <w:rsid w:val="00D026A6"/>
    <w:rsid w:val="00D04274"/>
    <w:rsid w:val="00D047EC"/>
    <w:rsid w:val="00D059ED"/>
    <w:rsid w:val="00D070E1"/>
    <w:rsid w:val="00D118E8"/>
    <w:rsid w:val="00D12C7D"/>
    <w:rsid w:val="00D15969"/>
    <w:rsid w:val="00D20D24"/>
    <w:rsid w:val="00D235B6"/>
    <w:rsid w:val="00D25CA2"/>
    <w:rsid w:val="00D405AD"/>
    <w:rsid w:val="00D412DE"/>
    <w:rsid w:val="00D42765"/>
    <w:rsid w:val="00D45E14"/>
    <w:rsid w:val="00D50923"/>
    <w:rsid w:val="00D52E60"/>
    <w:rsid w:val="00D56CFA"/>
    <w:rsid w:val="00D57133"/>
    <w:rsid w:val="00D57BEE"/>
    <w:rsid w:val="00D57C50"/>
    <w:rsid w:val="00D6119D"/>
    <w:rsid w:val="00D612E4"/>
    <w:rsid w:val="00D6235A"/>
    <w:rsid w:val="00D65B38"/>
    <w:rsid w:val="00D7151D"/>
    <w:rsid w:val="00D72503"/>
    <w:rsid w:val="00D7487E"/>
    <w:rsid w:val="00D76AC6"/>
    <w:rsid w:val="00D83640"/>
    <w:rsid w:val="00D85273"/>
    <w:rsid w:val="00D8696F"/>
    <w:rsid w:val="00D9084F"/>
    <w:rsid w:val="00D962D5"/>
    <w:rsid w:val="00D96A2E"/>
    <w:rsid w:val="00D973A1"/>
    <w:rsid w:val="00DA00ED"/>
    <w:rsid w:val="00DA12AB"/>
    <w:rsid w:val="00DA4751"/>
    <w:rsid w:val="00DA4F1E"/>
    <w:rsid w:val="00DB49DB"/>
    <w:rsid w:val="00DB6F07"/>
    <w:rsid w:val="00DC4022"/>
    <w:rsid w:val="00DD18CC"/>
    <w:rsid w:val="00DD25FC"/>
    <w:rsid w:val="00DD2ADB"/>
    <w:rsid w:val="00DD2DB2"/>
    <w:rsid w:val="00DD506F"/>
    <w:rsid w:val="00DD597B"/>
    <w:rsid w:val="00DE2CFF"/>
    <w:rsid w:val="00DE33BE"/>
    <w:rsid w:val="00DE5E3E"/>
    <w:rsid w:val="00DE5E92"/>
    <w:rsid w:val="00DE7406"/>
    <w:rsid w:val="00DF0F49"/>
    <w:rsid w:val="00DF517A"/>
    <w:rsid w:val="00DF6C42"/>
    <w:rsid w:val="00E00F2C"/>
    <w:rsid w:val="00E045DF"/>
    <w:rsid w:val="00E05D4A"/>
    <w:rsid w:val="00E10A09"/>
    <w:rsid w:val="00E153F6"/>
    <w:rsid w:val="00E16F63"/>
    <w:rsid w:val="00E177D4"/>
    <w:rsid w:val="00E2346C"/>
    <w:rsid w:val="00E234CE"/>
    <w:rsid w:val="00E32A5A"/>
    <w:rsid w:val="00E36DB6"/>
    <w:rsid w:val="00E37500"/>
    <w:rsid w:val="00E40D48"/>
    <w:rsid w:val="00E43842"/>
    <w:rsid w:val="00E50789"/>
    <w:rsid w:val="00E550FD"/>
    <w:rsid w:val="00E55EF8"/>
    <w:rsid w:val="00E611BD"/>
    <w:rsid w:val="00E62CFE"/>
    <w:rsid w:val="00E643F7"/>
    <w:rsid w:val="00E6498E"/>
    <w:rsid w:val="00E72EF9"/>
    <w:rsid w:val="00E748A5"/>
    <w:rsid w:val="00E779AB"/>
    <w:rsid w:val="00E8119D"/>
    <w:rsid w:val="00E820EA"/>
    <w:rsid w:val="00E93C28"/>
    <w:rsid w:val="00E943EE"/>
    <w:rsid w:val="00E9486F"/>
    <w:rsid w:val="00E94D54"/>
    <w:rsid w:val="00E97285"/>
    <w:rsid w:val="00E973B1"/>
    <w:rsid w:val="00EA1ECA"/>
    <w:rsid w:val="00EA7B78"/>
    <w:rsid w:val="00EC034D"/>
    <w:rsid w:val="00EC144D"/>
    <w:rsid w:val="00EC2239"/>
    <w:rsid w:val="00EC73F4"/>
    <w:rsid w:val="00EC7D8F"/>
    <w:rsid w:val="00ED332B"/>
    <w:rsid w:val="00ED5B6F"/>
    <w:rsid w:val="00EE1143"/>
    <w:rsid w:val="00EE3765"/>
    <w:rsid w:val="00EE4677"/>
    <w:rsid w:val="00EE4980"/>
    <w:rsid w:val="00EE5769"/>
    <w:rsid w:val="00EE57A8"/>
    <w:rsid w:val="00EE6B64"/>
    <w:rsid w:val="00EF0531"/>
    <w:rsid w:val="00EF092B"/>
    <w:rsid w:val="00EF1557"/>
    <w:rsid w:val="00EF3E10"/>
    <w:rsid w:val="00EF5171"/>
    <w:rsid w:val="00EF68DE"/>
    <w:rsid w:val="00F01A21"/>
    <w:rsid w:val="00F04070"/>
    <w:rsid w:val="00F07B8E"/>
    <w:rsid w:val="00F111A7"/>
    <w:rsid w:val="00F218FD"/>
    <w:rsid w:val="00F21D7C"/>
    <w:rsid w:val="00F23F7A"/>
    <w:rsid w:val="00F25C0A"/>
    <w:rsid w:val="00F270BA"/>
    <w:rsid w:val="00F349A1"/>
    <w:rsid w:val="00F34F98"/>
    <w:rsid w:val="00F4397E"/>
    <w:rsid w:val="00F47797"/>
    <w:rsid w:val="00F47DC0"/>
    <w:rsid w:val="00F50943"/>
    <w:rsid w:val="00F53F80"/>
    <w:rsid w:val="00F640C0"/>
    <w:rsid w:val="00F6639E"/>
    <w:rsid w:val="00F7013C"/>
    <w:rsid w:val="00F71727"/>
    <w:rsid w:val="00F722B2"/>
    <w:rsid w:val="00F743EE"/>
    <w:rsid w:val="00F75EAD"/>
    <w:rsid w:val="00F81219"/>
    <w:rsid w:val="00F83CC7"/>
    <w:rsid w:val="00F84F83"/>
    <w:rsid w:val="00F906BC"/>
    <w:rsid w:val="00F91A85"/>
    <w:rsid w:val="00F929F9"/>
    <w:rsid w:val="00F942E2"/>
    <w:rsid w:val="00F9588D"/>
    <w:rsid w:val="00FA0539"/>
    <w:rsid w:val="00FA31B7"/>
    <w:rsid w:val="00FA398C"/>
    <w:rsid w:val="00FA605D"/>
    <w:rsid w:val="00FA60B8"/>
    <w:rsid w:val="00FA626B"/>
    <w:rsid w:val="00FA6E41"/>
    <w:rsid w:val="00FB074C"/>
    <w:rsid w:val="00FB16BC"/>
    <w:rsid w:val="00FB3EF6"/>
    <w:rsid w:val="00FB4299"/>
    <w:rsid w:val="00FB526C"/>
    <w:rsid w:val="00FC4E69"/>
    <w:rsid w:val="00FC50A3"/>
    <w:rsid w:val="00FC5FF6"/>
    <w:rsid w:val="00FD2D93"/>
    <w:rsid w:val="00FD36D0"/>
    <w:rsid w:val="00FD790A"/>
    <w:rsid w:val="00FE08F0"/>
    <w:rsid w:val="00FE165E"/>
    <w:rsid w:val="00FE460F"/>
    <w:rsid w:val="00FF0AAD"/>
    <w:rsid w:val="00FF0E59"/>
    <w:rsid w:val="00FF1775"/>
    <w:rsid w:val="00FF2C22"/>
    <w:rsid w:val="00FF30A9"/>
    <w:rsid w:val="00FF35DC"/>
    <w:rsid w:val="00FF5EEB"/>
    <w:rsid w:val="0109136A"/>
    <w:rsid w:val="011A773E"/>
    <w:rsid w:val="01347E4D"/>
    <w:rsid w:val="0159533D"/>
    <w:rsid w:val="01B701FF"/>
    <w:rsid w:val="01B703B6"/>
    <w:rsid w:val="01E31BAA"/>
    <w:rsid w:val="01E62138"/>
    <w:rsid w:val="020D5BEC"/>
    <w:rsid w:val="02191269"/>
    <w:rsid w:val="02232750"/>
    <w:rsid w:val="024733F5"/>
    <w:rsid w:val="026D11F9"/>
    <w:rsid w:val="028839CD"/>
    <w:rsid w:val="02A56A53"/>
    <w:rsid w:val="02A667F7"/>
    <w:rsid w:val="02AA1E17"/>
    <w:rsid w:val="02E124FB"/>
    <w:rsid w:val="02EC4D6E"/>
    <w:rsid w:val="02F3333D"/>
    <w:rsid w:val="030A11B5"/>
    <w:rsid w:val="03264FF0"/>
    <w:rsid w:val="032F264F"/>
    <w:rsid w:val="032F2863"/>
    <w:rsid w:val="03362D41"/>
    <w:rsid w:val="0341132A"/>
    <w:rsid w:val="0356267A"/>
    <w:rsid w:val="035737C2"/>
    <w:rsid w:val="03694789"/>
    <w:rsid w:val="037E2860"/>
    <w:rsid w:val="038645E5"/>
    <w:rsid w:val="03866EF2"/>
    <w:rsid w:val="038932C6"/>
    <w:rsid w:val="039F6C8B"/>
    <w:rsid w:val="03A25C4A"/>
    <w:rsid w:val="03D61915"/>
    <w:rsid w:val="03D96BFB"/>
    <w:rsid w:val="041E01DA"/>
    <w:rsid w:val="04327B03"/>
    <w:rsid w:val="04517AE7"/>
    <w:rsid w:val="04656110"/>
    <w:rsid w:val="04855AFA"/>
    <w:rsid w:val="04C05C63"/>
    <w:rsid w:val="04E50FB0"/>
    <w:rsid w:val="04E6228C"/>
    <w:rsid w:val="04F66859"/>
    <w:rsid w:val="0503490E"/>
    <w:rsid w:val="051A2D96"/>
    <w:rsid w:val="052A6D48"/>
    <w:rsid w:val="0587698A"/>
    <w:rsid w:val="06091825"/>
    <w:rsid w:val="06543412"/>
    <w:rsid w:val="06694C3E"/>
    <w:rsid w:val="06811078"/>
    <w:rsid w:val="06B542D2"/>
    <w:rsid w:val="06E06F80"/>
    <w:rsid w:val="06E5733F"/>
    <w:rsid w:val="070573EF"/>
    <w:rsid w:val="07291983"/>
    <w:rsid w:val="07312E93"/>
    <w:rsid w:val="0752495C"/>
    <w:rsid w:val="07561F1C"/>
    <w:rsid w:val="07854BB7"/>
    <w:rsid w:val="0791096A"/>
    <w:rsid w:val="07A51302"/>
    <w:rsid w:val="07C91219"/>
    <w:rsid w:val="08020826"/>
    <w:rsid w:val="080E6445"/>
    <w:rsid w:val="083D6247"/>
    <w:rsid w:val="08700D28"/>
    <w:rsid w:val="08706FB0"/>
    <w:rsid w:val="087F7C9B"/>
    <w:rsid w:val="08A0205F"/>
    <w:rsid w:val="08C92C62"/>
    <w:rsid w:val="08D81385"/>
    <w:rsid w:val="08FA1D1E"/>
    <w:rsid w:val="09536C7F"/>
    <w:rsid w:val="09565F0B"/>
    <w:rsid w:val="097B0CD8"/>
    <w:rsid w:val="09AA0E1E"/>
    <w:rsid w:val="09E05EF3"/>
    <w:rsid w:val="09EC596C"/>
    <w:rsid w:val="0A083DEA"/>
    <w:rsid w:val="0A1073C4"/>
    <w:rsid w:val="0A385B92"/>
    <w:rsid w:val="0A7347FA"/>
    <w:rsid w:val="0A78157F"/>
    <w:rsid w:val="0A783982"/>
    <w:rsid w:val="0A986925"/>
    <w:rsid w:val="0B196A09"/>
    <w:rsid w:val="0B336022"/>
    <w:rsid w:val="0B806BBD"/>
    <w:rsid w:val="0B810939"/>
    <w:rsid w:val="0B90070E"/>
    <w:rsid w:val="0BFF5214"/>
    <w:rsid w:val="0C032C86"/>
    <w:rsid w:val="0C1E3CE6"/>
    <w:rsid w:val="0CC73070"/>
    <w:rsid w:val="0CF51035"/>
    <w:rsid w:val="0D3F4971"/>
    <w:rsid w:val="0D5A5ED7"/>
    <w:rsid w:val="0D8627B3"/>
    <w:rsid w:val="0DAD321D"/>
    <w:rsid w:val="0DC5551D"/>
    <w:rsid w:val="0DC85021"/>
    <w:rsid w:val="0DD400AF"/>
    <w:rsid w:val="0DD55E64"/>
    <w:rsid w:val="0DEF37E9"/>
    <w:rsid w:val="0DF10AEA"/>
    <w:rsid w:val="0DFE1DC7"/>
    <w:rsid w:val="0E060E60"/>
    <w:rsid w:val="0E09657B"/>
    <w:rsid w:val="0E184403"/>
    <w:rsid w:val="0E1D58B8"/>
    <w:rsid w:val="0E593F0B"/>
    <w:rsid w:val="0E96021C"/>
    <w:rsid w:val="0EAA2B7B"/>
    <w:rsid w:val="0EB47D5C"/>
    <w:rsid w:val="0EBA2946"/>
    <w:rsid w:val="0EC471A0"/>
    <w:rsid w:val="0EC7784F"/>
    <w:rsid w:val="0ED17D6D"/>
    <w:rsid w:val="0ED256F7"/>
    <w:rsid w:val="0ED80E97"/>
    <w:rsid w:val="0EE13686"/>
    <w:rsid w:val="0EE14054"/>
    <w:rsid w:val="0EFC55D6"/>
    <w:rsid w:val="0F03125A"/>
    <w:rsid w:val="0F065256"/>
    <w:rsid w:val="0F226CA5"/>
    <w:rsid w:val="0F252013"/>
    <w:rsid w:val="0F496D50"/>
    <w:rsid w:val="0F7A4B23"/>
    <w:rsid w:val="0F7D43C2"/>
    <w:rsid w:val="0F923358"/>
    <w:rsid w:val="0F9C3783"/>
    <w:rsid w:val="0FC14465"/>
    <w:rsid w:val="0FD83F5D"/>
    <w:rsid w:val="0FE41C66"/>
    <w:rsid w:val="0FF04C80"/>
    <w:rsid w:val="104725BA"/>
    <w:rsid w:val="104C727F"/>
    <w:rsid w:val="1061639C"/>
    <w:rsid w:val="106A73A2"/>
    <w:rsid w:val="106B5B97"/>
    <w:rsid w:val="107E126C"/>
    <w:rsid w:val="10BD24CA"/>
    <w:rsid w:val="10D10FAF"/>
    <w:rsid w:val="10D42CCB"/>
    <w:rsid w:val="10D46AE1"/>
    <w:rsid w:val="10E1257B"/>
    <w:rsid w:val="110E637A"/>
    <w:rsid w:val="113A1704"/>
    <w:rsid w:val="113D43A9"/>
    <w:rsid w:val="11757EA6"/>
    <w:rsid w:val="11D04E6D"/>
    <w:rsid w:val="11F645D4"/>
    <w:rsid w:val="1242242D"/>
    <w:rsid w:val="12A63E57"/>
    <w:rsid w:val="12B65B09"/>
    <w:rsid w:val="12E068C1"/>
    <w:rsid w:val="12E76F5F"/>
    <w:rsid w:val="12F1720D"/>
    <w:rsid w:val="130326C4"/>
    <w:rsid w:val="13043212"/>
    <w:rsid w:val="13831F15"/>
    <w:rsid w:val="13A103BF"/>
    <w:rsid w:val="13A6182A"/>
    <w:rsid w:val="13D97F35"/>
    <w:rsid w:val="14432910"/>
    <w:rsid w:val="149713B2"/>
    <w:rsid w:val="14C92CF6"/>
    <w:rsid w:val="14F92A3D"/>
    <w:rsid w:val="151A4E7A"/>
    <w:rsid w:val="15285BEF"/>
    <w:rsid w:val="15401236"/>
    <w:rsid w:val="15605345"/>
    <w:rsid w:val="15B90AA8"/>
    <w:rsid w:val="15DA1DC9"/>
    <w:rsid w:val="15EA3860"/>
    <w:rsid w:val="15EB084F"/>
    <w:rsid w:val="161374E9"/>
    <w:rsid w:val="163B76D8"/>
    <w:rsid w:val="164C6EEB"/>
    <w:rsid w:val="165D2336"/>
    <w:rsid w:val="167C4D5C"/>
    <w:rsid w:val="1682268A"/>
    <w:rsid w:val="16A24DE7"/>
    <w:rsid w:val="16C4123F"/>
    <w:rsid w:val="1701378E"/>
    <w:rsid w:val="17231282"/>
    <w:rsid w:val="17387787"/>
    <w:rsid w:val="173974A5"/>
    <w:rsid w:val="1748423A"/>
    <w:rsid w:val="178544CA"/>
    <w:rsid w:val="179D29C0"/>
    <w:rsid w:val="179E79E7"/>
    <w:rsid w:val="17A16D6E"/>
    <w:rsid w:val="17CD1B7B"/>
    <w:rsid w:val="17D7596E"/>
    <w:rsid w:val="17E32072"/>
    <w:rsid w:val="17E838D3"/>
    <w:rsid w:val="17E97855"/>
    <w:rsid w:val="181D3BC7"/>
    <w:rsid w:val="183448DB"/>
    <w:rsid w:val="184A7CE2"/>
    <w:rsid w:val="185352EE"/>
    <w:rsid w:val="185A0992"/>
    <w:rsid w:val="18650604"/>
    <w:rsid w:val="18754EF6"/>
    <w:rsid w:val="18AE3683"/>
    <w:rsid w:val="18BF3C12"/>
    <w:rsid w:val="18F16DC6"/>
    <w:rsid w:val="18FC1AA0"/>
    <w:rsid w:val="195E0813"/>
    <w:rsid w:val="198D5F5A"/>
    <w:rsid w:val="19993285"/>
    <w:rsid w:val="19AF1165"/>
    <w:rsid w:val="19C8432D"/>
    <w:rsid w:val="19FE01C4"/>
    <w:rsid w:val="1A155BD5"/>
    <w:rsid w:val="1A3069E1"/>
    <w:rsid w:val="1A323F62"/>
    <w:rsid w:val="1A705F65"/>
    <w:rsid w:val="1A802330"/>
    <w:rsid w:val="1A8E06C9"/>
    <w:rsid w:val="1A9269B5"/>
    <w:rsid w:val="1AAF588B"/>
    <w:rsid w:val="1AD735FF"/>
    <w:rsid w:val="1B057908"/>
    <w:rsid w:val="1B06205E"/>
    <w:rsid w:val="1B2A28B7"/>
    <w:rsid w:val="1B57339A"/>
    <w:rsid w:val="1B6666B7"/>
    <w:rsid w:val="1B7846AD"/>
    <w:rsid w:val="1B9B1E39"/>
    <w:rsid w:val="1BC370C6"/>
    <w:rsid w:val="1BD27C93"/>
    <w:rsid w:val="1BDB247E"/>
    <w:rsid w:val="1BEE1F75"/>
    <w:rsid w:val="1BF86C37"/>
    <w:rsid w:val="1CA83388"/>
    <w:rsid w:val="1CCC218F"/>
    <w:rsid w:val="1CFC140D"/>
    <w:rsid w:val="1D006B94"/>
    <w:rsid w:val="1D0A1D60"/>
    <w:rsid w:val="1D4940B3"/>
    <w:rsid w:val="1D543E7B"/>
    <w:rsid w:val="1DBE4AA4"/>
    <w:rsid w:val="1DE07C83"/>
    <w:rsid w:val="1E171C16"/>
    <w:rsid w:val="1E3153B4"/>
    <w:rsid w:val="1E3740C5"/>
    <w:rsid w:val="1E387725"/>
    <w:rsid w:val="1E533401"/>
    <w:rsid w:val="1E7035DA"/>
    <w:rsid w:val="1EC7425D"/>
    <w:rsid w:val="1ED55A67"/>
    <w:rsid w:val="1F2D656E"/>
    <w:rsid w:val="1F557A76"/>
    <w:rsid w:val="1FE7409B"/>
    <w:rsid w:val="1FF11D2E"/>
    <w:rsid w:val="20030FF6"/>
    <w:rsid w:val="200645CA"/>
    <w:rsid w:val="202E01EA"/>
    <w:rsid w:val="203F1A69"/>
    <w:rsid w:val="207F3B93"/>
    <w:rsid w:val="20A234B7"/>
    <w:rsid w:val="20A315F9"/>
    <w:rsid w:val="20AC1B93"/>
    <w:rsid w:val="20E859B4"/>
    <w:rsid w:val="20EB2A86"/>
    <w:rsid w:val="210D0B89"/>
    <w:rsid w:val="211C24A7"/>
    <w:rsid w:val="21423048"/>
    <w:rsid w:val="21A05D20"/>
    <w:rsid w:val="21AE0F43"/>
    <w:rsid w:val="21B32EE6"/>
    <w:rsid w:val="21CC4578"/>
    <w:rsid w:val="21EF57FA"/>
    <w:rsid w:val="21FB0228"/>
    <w:rsid w:val="221B0B0D"/>
    <w:rsid w:val="224E09E2"/>
    <w:rsid w:val="22762613"/>
    <w:rsid w:val="227B2263"/>
    <w:rsid w:val="228209CF"/>
    <w:rsid w:val="22E77D73"/>
    <w:rsid w:val="22EE2CF4"/>
    <w:rsid w:val="22F97D63"/>
    <w:rsid w:val="23137D43"/>
    <w:rsid w:val="232400F1"/>
    <w:rsid w:val="233C7F34"/>
    <w:rsid w:val="235E0E30"/>
    <w:rsid w:val="23892F51"/>
    <w:rsid w:val="238E5445"/>
    <w:rsid w:val="23AA49FA"/>
    <w:rsid w:val="23BA09B1"/>
    <w:rsid w:val="23C2239A"/>
    <w:rsid w:val="23C4204B"/>
    <w:rsid w:val="23C9371E"/>
    <w:rsid w:val="23F32CDC"/>
    <w:rsid w:val="246533DF"/>
    <w:rsid w:val="24D01597"/>
    <w:rsid w:val="24F529F4"/>
    <w:rsid w:val="252042AD"/>
    <w:rsid w:val="253C2780"/>
    <w:rsid w:val="253C392D"/>
    <w:rsid w:val="253C5670"/>
    <w:rsid w:val="25851CCE"/>
    <w:rsid w:val="25E13ED4"/>
    <w:rsid w:val="260F7598"/>
    <w:rsid w:val="262E2CE7"/>
    <w:rsid w:val="26445AF8"/>
    <w:rsid w:val="26A44B72"/>
    <w:rsid w:val="26A90542"/>
    <w:rsid w:val="26C349D3"/>
    <w:rsid w:val="26E71BBB"/>
    <w:rsid w:val="26F01C04"/>
    <w:rsid w:val="26F217DA"/>
    <w:rsid w:val="272338F6"/>
    <w:rsid w:val="272C34A0"/>
    <w:rsid w:val="273C1B16"/>
    <w:rsid w:val="27442B4A"/>
    <w:rsid w:val="275F78F2"/>
    <w:rsid w:val="278C36E5"/>
    <w:rsid w:val="27B363FC"/>
    <w:rsid w:val="27EE7C74"/>
    <w:rsid w:val="2832745F"/>
    <w:rsid w:val="28504797"/>
    <w:rsid w:val="2863561C"/>
    <w:rsid w:val="28801F48"/>
    <w:rsid w:val="288D6812"/>
    <w:rsid w:val="28A828AD"/>
    <w:rsid w:val="28AB2BF2"/>
    <w:rsid w:val="28BC57F3"/>
    <w:rsid w:val="28D87431"/>
    <w:rsid w:val="2947439B"/>
    <w:rsid w:val="29481266"/>
    <w:rsid w:val="296C38DB"/>
    <w:rsid w:val="297154E5"/>
    <w:rsid w:val="297452D2"/>
    <w:rsid w:val="299F3296"/>
    <w:rsid w:val="29A57935"/>
    <w:rsid w:val="29B73BED"/>
    <w:rsid w:val="29BD4BD4"/>
    <w:rsid w:val="29D82CAA"/>
    <w:rsid w:val="29E61D3F"/>
    <w:rsid w:val="2A070547"/>
    <w:rsid w:val="2A2365B0"/>
    <w:rsid w:val="2A366680"/>
    <w:rsid w:val="2A482B83"/>
    <w:rsid w:val="2A5A6A12"/>
    <w:rsid w:val="2A682D6F"/>
    <w:rsid w:val="2A6E3288"/>
    <w:rsid w:val="2A7B6D87"/>
    <w:rsid w:val="2A935D13"/>
    <w:rsid w:val="2A977A6F"/>
    <w:rsid w:val="2AB54754"/>
    <w:rsid w:val="2AB9542B"/>
    <w:rsid w:val="2AC70CC1"/>
    <w:rsid w:val="2AFD3A83"/>
    <w:rsid w:val="2AFE0FCA"/>
    <w:rsid w:val="2B021E36"/>
    <w:rsid w:val="2B076FF0"/>
    <w:rsid w:val="2B2B7D88"/>
    <w:rsid w:val="2B2C76CF"/>
    <w:rsid w:val="2B3E6DD9"/>
    <w:rsid w:val="2B474750"/>
    <w:rsid w:val="2B670C79"/>
    <w:rsid w:val="2B6F4F34"/>
    <w:rsid w:val="2B947761"/>
    <w:rsid w:val="2BA91A0A"/>
    <w:rsid w:val="2BBB5425"/>
    <w:rsid w:val="2BBF40A4"/>
    <w:rsid w:val="2BC326D2"/>
    <w:rsid w:val="2BDE3F6B"/>
    <w:rsid w:val="2BFB5464"/>
    <w:rsid w:val="2C26142E"/>
    <w:rsid w:val="2C3B33D1"/>
    <w:rsid w:val="2C3D0287"/>
    <w:rsid w:val="2C4238C4"/>
    <w:rsid w:val="2C645036"/>
    <w:rsid w:val="2C736C3F"/>
    <w:rsid w:val="2C7E6E6C"/>
    <w:rsid w:val="2C8F6C4D"/>
    <w:rsid w:val="2CD565E4"/>
    <w:rsid w:val="2CF962DA"/>
    <w:rsid w:val="2CFB259B"/>
    <w:rsid w:val="2D175279"/>
    <w:rsid w:val="2D273745"/>
    <w:rsid w:val="2D2B3B75"/>
    <w:rsid w:val="2D2F4390"/>
    <w:rsid w:val="2D547F25"/>
    <w:rsid w:val="2D5F34DE"/>
    <w:rsid w:val="2D8356B1"/>
    <w:rsid w:val="2D995B44"/>
    <w:rsid w:val="2DC40D6C"/>
    <w:rsid w:val="2DC6092B"/>
    <w:rsid w:val="2DCE1787"/>
    <w:rsid w:val="2DE86932"/>
    <w:rsid w:val="2DF361AB"/>
    <w:rsid w:val="2DF7686C"/>
    <w:rsid w:val="2E1F335B"/>
    <w:rsid w:val="2E2E4FF1"/>
    <w:rsid w:val="2E8475C0"/>
    <w:rsid w:val="2EB04F23"/>
    <w:rsid w:val="2ECE4749"/>
    <w:rsid w:val="2F1A1469"/>
    <w:rsid w:val="2F2716E7"/>
    <w:rsid w:val="2F36253D"/>
    <w:rsid w:val="2F457EBA"/>
    <w:rsid w:val="2F4A57A3"/>
    <w:rsid w:val="2F541836"/>
    <w:rsid w:val="2F5D57B9"/>
    <w:rsid w:val="2F5F49FA"/>
    <w:rsid w:val="2F616636"/>
    <w:rsid w:val="2F6860F4"/>
    <w:rsid w:val="2F76064C"/>
    <w:rsid w:val="2F796ED7"/>
    <w:rsid w:val="2F9D0CAD"/>
    <w:rsid w:val="2FC53158"/>
    <w:rsid w:val="2FD5404C"/>
    <w:rsid w:val="2FE97349"/>
    <w:rsid w:val="30660215"/>
    <w:rsid w:val="30694673"/>
    <w:rsid w:val="30C06768"/>
    <w:rsid w:val="30D10E76"/>
    <w:rsid w:val="30ED78CF"/>
    <w:rsid w:val="30F93914"/>
    <w:rsid w:val="30FA6753"/>
    <w:rsid w:val="3106617F"/>
    <w:rsid w:val="31542205"/>
    <w:rsid w:val="31565E1E"/>
    <w:rsid w:val="31590291"/>
    <w:rsid w:val="31B10487"/>
    <w:rsid w:val="31D426F4"/>
    <w:rsid w:val="31F77327"/>
    <w:rsid w:val="3210195A"/>
    <w:rsid w:val="325626B5"/>
    <w:rsid w:val="326B6009"/>
    <w:rsid w:val="327D1B91"/>
    <w:rsid w:val="32A515FA"/>
    <w:rsid w:val="32B24225"/>
    <w:rsid w:val="32BC2367"/>
    <w:rsid w:val="32C42BE5"/>
    <w:rsid w:val="33077116"/>
    <w:rsid w:val="331F0D3A"/>
    <w:rsid w:val="33306E14"/>
    <w:rsid w:val="335C5C51"/>
    <w:rsid w:val="336B551F"/>
    <w:rsid w:val="33B45354"/>
    <w:rsid w:val="33C34936"/>
    <w:rsid w:val="33C43A51"/>
    <w:rsid w:val="33C47E2B"/>
    <w:rsid w:val="33DE0330"/>
    <w:rsid w:val="33F62472"/>
    <w:rsid w:val="34082531"/>
    <w:rsid w:val="34154EDF"/>
    <w:rsid w:val="343E2050"/>
    <w:rsid w:val="343F779F"/>
    <w:rsid w:val="34461EB9"/>
    <w:rsid w:val="346B02F2"/>
    <w:rsid w:val="34726992"/>
    <w:rsid w:val="34740591"/>
    <w:rsid w:val="34B01B07"/>
    <w:rsid w:val="34B61496"/>
    <w:rsid w:val="34C25BF5"/>
    <w:rsid w:val="34DD1E91"/>
    <w:rsid w:val="35027B0C"/>
    <w:rsid w:val="35197675"/>
    <w:rsid w:val="351D12C5"/>
    <w:rsid w:val="35245283"/>
    <w:rsid w:val="35253F2B"/>
    <w:rsid w:val="352F3D71"/>
    <w:rsid w:val="35C8195C"/>
    <w:rsid w:val="35E07C1C"/>
    <w:rsid w:val="35F41754"/>
    <w:rsid w:val="360D11E9"/>
    <w:rsid w:val="3614402B"/>
    <w:rsid w:val="36216552"/>
    <w:rsid w:val="367A7B90"/>
    <w:rsid w:val="36901A35"/>
    <w:rsid w:val="36963E13"/>
    <w:rsid w:val="369A74B1"/>
    <w:rsid w:val="36BF40DE"/>
    <w:rsid w:val="36C9504B"/>
    <w:rsid w:val="36EA3E04"/>
    <w:rsid w:val="36F53B05"/>
    <w:rsid w:val="37373F5A"/>
    <w:rsid w:val="37610E3E"/>
    <w:rsid w:val="376561D8"/>
    <w:rsid w:val="377912DF"/>
    <w:rsid w:val="378E50C0"/>
    <w:rsid w:val="37B60218"/>
    <w:rsid w:val="37C01AC5"/>
    <w:rsid w:val="38306FAD"/>
    <w:rsid w:val="38397ECD"/>
    <w:rsid w:val="38CD0764"/>
    <w:rsid w:val="38D470B2"/>
    <w:rsid w:val="38FF0E32"/>
    <w:rsid w:val="394C06D3"/>
    <w:rsid w:val="398F72BD"/>
    <w:rsid w:val="39950B1A"/>
    <w:rsid w:val="399F21B6"/>
    <w:rsid w:val="399F741B"/>
    <w:rsid w:val="39A543A1"/>
    <w:rsid w:val="39AF0091"/>
    <w:rsid w:val="39D52E76"/>
    <w:rsid w:val="39D7678C"/>
    <w:rsid w:val="3A254677"/>
    <w:rsid w:val="3A2B3A56"/>
    <w:rsid w:val="3A3C2123"/>
    <w:rsid w:val="3A997890"/>
    <w:rsid w:val="3AB462CE"/>
    <w:rsid w:val="3AD67AC0"/>
    <w:rsid w:val="3AF56BE5"/>
    <w:rsid w:val="3B027BB8"/>
    <w:rsid w:val="3B0B7997"/>
    <w:rsid w:val="3B503F02"/>
    <w:rsid w:val="3B704CFD"/>
    <w:rsid w:val="3C063C5F"/>
    <w:rsid w:val="3C125F0F"/>
    <w:rsid w:val="3C2E6EB6"/>
    <w:rsid w:val="3C50168D"/>
    <w:rsid w:val="3C880908"/>
    <w:rsid w:val="3C8A6DEF"/>
    <w:rsid w:val="3C9A57C5"/>
    <w:rsid w:val="3CC07544"/>
    <w:rsid w:val="3CCA443A"/>
    <w:rsid w:val="3CCC34AC"/>
    <w:rsid w:val="3CCD4261"/>
    <w:rsid w:val="3CDC54A4"/>
    <w:rsid w:val="3D0C6BB9"/>
    <w:rsid w:val="3D11613F"/>
    <w:rsid w:val="3D26255E"/>
    <w:rsid w:val="3D266D52"/>
    <w:rsid w:val="3D3C1F08"/>
    <w:rsid w:val="3D770B30"/>
    <w:rsid w:val="3DFA5F82"/>
    <w:rsid w:val="3E1D634D"/>
    <w:rsid w:val="3E820464"/>
    <w:rsid w:val="3EA401E4"/>
    <w:rsid w:val="3EAE6879"/>
    <w:rsid w:val="3EC10E01"/>
    <w:rsid w:val="3EFA7E46"/>
    <w:rsid w:val="3F242C59"/>
    <w:rsid w:val="3F2B1EDE"/>
    <w:rsid w:val="3F3455E8"/>
    <w:rsid w:val="3F3F1096"/>
    <w:rsid w:val="3FA71099"/>
    <w:rsid w:val="3FB5415F"/>
    <w:rsid w:val="3FD47E20"/>
    <w:rsid w:val="40107677"/>
    <w:rsid w:val="402B3E9C"/>
    <w:rsid w:val="40425D5E"/>
    <w:rsid w:val="4082359D"/>
    <w:rsid w:val="409E2944"/>
    <w:rsid w:val="40EE447D"/>
    <w:rsid w:val="40F82ED2"/>
    <w:rsid w:val="410533B9"/>
    <w:rsid w:val="41054F50"/>
    <w:rsid w:val="411D502D"/>
    <w:rsid w:val="4137171F"/>
    <w:rsid w:val="41586FC1"/>
    <w:rsid w:val="41A31B4D"/>
    <w:rsid w:val="41BE74FD"/>
    <w:rsid w:val="41C80864"/>
    <w:rsid w:val="41D34EBA"/>
    <w:rsid w:val="41EF3840"/>
    <w:rsid w:val="423C112B"/>
    <w:rsid w:val="42C846E8"/>
    <w:rsid w:val="42F26500"/>
    <w:rsid w:val="43003B2E"/>
    <w:rsid w:val="43207A0F"/>
    <w:rsid w:val="433272A1"/>
    <w:rsid w:val="43445E53"/>
    <w:rsid w:val="43592C81"/>
    <w:rsid w:val="436508A7"/>
    <w:rsid w:val="438544F5"/>
    <w:rsid w:val="438C5FB7"/>
    <w:rsid w:val="439E79FD"/>
    <w:rsid w:val="43A7485D"/>
    <w:rsid w:val="43AC0D29"/>
    <w:rsid w:val="43B0766D"/>
    <w:rsid w:val="43B83CCF"/>
    <w:rsid w:val="43C667DB"/>
    <w:rsid w:val="43E52C7E"/>
    <w:rsid w:val="442326BC"/>
    <w:rsid w:val="444043FB"/>
    <w:rsid w:val="444D1E42"/>
    <w:rsid w:val="446C091F"/>
    <w:rsid w:val="44735AEE"/>
    <w:rsid w:val="447957B5"/>
    <w:rsid w:val="449C6540"/>
    <w:rsid w:val="44A62434"/>
    <w:rsid w:val="44C70D28"/>
    <w:rsid w:val="45051A31"/>
    <w:rsid w:val="452951E2"/>
    <w:rsid w:val="453F190D"/>
    <w:rsid w:val="45654B88"/>
    <w:rsid w:val="4575568C"/>
    <w:rsid w:val="45A222F2"/>
    <w:rsid w:val="45A47153"/>
    <w:rsid w:val="46010513"/>
    <w:rsid w:val="461A3044"/>
    <w:rsid w:val="46552098"/>
    <w:rsid w:val="467C1A36"/>
    <w:rsid w:val="469011FD"/>
    <w:rsid w:val="46FA6E67"/>
    <w:rsid w:val="47036D7C"/>
    <w:rsid w:val="470727BF"/>
    <w:rsid w:val="474F0407"/>
    <w:rsid w:val="478E336B"/>
    <w:rsid w:val="47DE0066"/>
    <w:rsid w:val="47FA4525"/>
    <w:rsid w:val="48123723"/>
    <w:rsid w:val="486B3405"/>
    <w:rsid w:val="4872384E"/>
    <w:rsid w:val="48786B1A"/>
    <w:rsid w:val="48792277"/>
    <w:rsid w:val="488D4644"/>
    <w:rsid w:val="48937A32"/>
    <w:rsid w:val="48B2505F"/>
    <w:rsid w:val="48B27B0F"/>
    <w:rsid w:val="490B592C"/>
    <w:rsid w:val="49155677"/>
    <w:rsid w:val="49294F00"/>
    <w:rsid w:val="49465240"/>
    <w:rsid w:val="497F7B0D"/>
    <w:rsid w:val="498573E9"/>
    <w:rsid w:val="49B02C45"/>
    <w:rsid w:val="49B366DD"/>
    <w:rsid w:val="4A4B69F4"/>
    <w:rsid w:val="4A702286"/>
    <w:rsid w:val="4A880D0E"/>
    <w:rsid w:val="4AD83478"/>
    <w:rsid w:val="4B1078CB"/>
    <w:rsid w:val="4B36098F"/>
    <w:rsid w:val="4BA60BB1"/>
    <w:rsid w:val="4BBA4978"/>
    <w:rsid w:val="4BF915B0"/>
    <w:rsid w:val="4C324250"/>
    <w:rsid w:val="4C5F1D63"/>
    <w:rsid w:val="4C634533"/>
    <w:rsid w:val="4CD46CD8"/>
    <w:rsid w:val="4D156645"/>
    <w:rsid w:val="4D1B70C4"/>
    <w:rsid w:val="4D393841"/>
    <w:rsid w:val="4D61305F"/>
    <w:rsid w:val="4D6306BF"/>
    <w:rsid w:val="4D6F6A90"/>
    <w:rsid w:val="4D7E0BCB"/>
    <w:rsid w:val="4DA27AF7"/>
    <w:rsid w:val="4DA32FFF"/>
    <w:rsid w:val="4DA6310D"/>
    <w:rsid w:val="4DC1082F"/>
    <w:rsid w:val="4E1E300F"/>
    <w:rsid w:val="4E2921C6"/>
    <w:rsid w:val="4E44458B"/>
    <w:rsid w:val="4E585A6B"/>
    <w:rsid w:val="4EA53575"/>
    <w:rsid w:val="4EA74FEC"/>
    <w:rsid w:val="4EAD657A"/>
    <w:rsid w:val="4EF04DF3"/>
    <w:rsid w:val="4F07501B"/>
    <w:rsid w:val="4F11774C"/>
    <w:rsid w:val="4F2D6246"/>
    <w:rsid w:val="4F3C3BB5"/>
    <w:rsid w:val="4F582078"/>
    <w:rsid w:val="4F5B60B1"/>
    <w:rsid w:val="4F5E5705"/>
    <w:rsid w:val="4F803F0D"/>
    <w:rsid w:val="4FD144CA"/>
    <w:rsid w:val="4FE608F7"/>
    <w:rsid w:val="4FF153B5"/>
    <w:rsid w:val="4FF803D9"/>
    <w:rsid w:val="50665803"/>
    <w:rsid w:val="50A86A26"/>
    <w:rsid w:val="50AB5EAD"/>
    <w:rsid w:val="514062EE"/>
    <w:rsid w:val="51594F6D"/>
    <w:rsid w:val="51610CD0"/>
    <w:rsid w:val="516912AF"/>
    <w:rsid w:val="516F21A9"/>
    <w:rsid w:val="519902B6"/>
    <w:rsid w:val="51C549E5"/>
    <w:rsid w:val="51F11013"/>
    <w:rsid w:val="520411EA"/>
    <w:rsid w:val="520550DD"/>
    <w:rsid w:val="52553373"/>
    <w:rsid w:val="52670350"/>
    <w:rsid w:val="528B396E"/>
    <w:rsid w:val="52A127E8"/>
    <w:rsid w:val="52DF355E"/>
    <w:rsid w:val="52F00102"/>
    <w:rsid w:val="53023263"/>
    <w:rsid w:val="530C51AB"/>
    <w:rsid w:val="530D12E7"/>
    <w:rsid w:val="53817FE1"/>
    <w:rsid w:val="54061267"/>
    <w:rsid w:val="541453EF"/>
    <w:rsid w:val="541B54E9"/>
    <w:rsid w:val="54236955"/>
    <w:rsid w:val="5425042C"/>
    <w:rsid w:val="544264F8"/>
    <w:rsid w:val="546F4936"/>
    <w:rsid w:val="547067AC"/>
    <w:rsid w:val="547C2CD2"/>
    <w:rsid w:val="549759AD"/>
    <w:rsid w:val="54C67702"/>
    <w:rsid w:val="54ED66AD"/>
    <w:rsid w:val="54F54454"/>
    <w:rsid w:val="550C1F3E"/>
    <w:rsid w:val="55445C07"/>
    <w:rsid w:val="55482E67"/>
    <w:rsid w:val="559109B3"/>
    <w:rsid w:val="55EB106C"/>
    <w:rsid w:val="56193D12"/>
    <w:rsid w:val="562D263A"/>
    <w:rsid w:val="5631713C"/>
    <w:rsid w:val="564439CB"/>
    <w:rsid w:val="565817D4"/>
    <w:rsid w:val="565A04A5"/>
    <w:rsid w:val="566A1498"/>
    <w:rsid w:val="566A458F"/>
    <w:rsid w:val="567F3910"/>
    <w:rsid w:val="5691784B"/>
    <w:rsid w:val="56A805C1"/>
    <w:rsid w:val="56AF4E88"/>
    <w:rsid w:val="56B76C98"/>
    <w:rsid w:val="56C03EE3"/>
    <w:rsid w:val="56C3582F"/>
    <w:rsid w:val="56D75327"/>
    <w:rsid w:val="56E74851"/>
    <w:rsid w:val="572623CB"/>
    <w:rsid w:val="57556087"/>
    <w:rsid w:val="57582535"/>
    <w:rsid w:val="5759280C"/>
    <w:rsid w:val="578E1E92"/>
    <w:rsid w:val="57956261"/>
    <w:rsid w:val="57AB2AC8"/>
    <w:rsid w:val="58065A17"/>
    <w:rsid w:val="58562E17"/>
    <w:rsid w:val="585C5E1E"/>
    <w:rsid w:val="58CD5C02"/>
    <w:rsid w:val="58E06038"/>
    <w:rsid w:val="58E31CBD"/>
    <w:rsid w:val="59176A2E"/>
    <w:rsid w:val="59384392"/>
    <w:rsid w:val="593A6E35"/>
    <w:rsid w:val="5985797D"/>
    <w:rsid w:val="5987430E"/>
    <w:rsid w:val="599C7311"/>
    <w:rsid w:val="5A193E2E"/>
    <w:rsid w:val="5A360F7E"/>
    <w:rsid w:val="5A594FA4"/>
    <w:rsid w:val="5A9A4371"/>
    <w:rsid w:val="5AA87AD8"/>
    <w:rsid w:val="5ABC6EA3"/>
    <w:rsid w:val="5ADD66C4"/>
    <w:rsid w:val="5AE20FC4"/>
    <w:rsid w:val="5B01351E"/>
    <w:rsid w:val="5B0D3DDA"/>
    <w:rsid w:val="5B161025"/>
    <w:rsid w:val="5B236B92"/>
    <w:rsid w:val="5B253EE0"/>
    <w:rsid w:val="5B3533E8"/>
    <w:rsid w:val="5B3D3A66"/>
    <w:rsid w:val="5B575BE5"/>
    <w:rsid w:val="5B7469BC"/>
    <w:rsid w:val="5B7C6C26"/>
    <w:rsid w:val="5B9524A8"/>
    <w:rsid w:val="5B9E17E2"/>
    <w:rsid w:val="5BD33C61"/>
    <w:rsid w:val="5BE03F15"/>
    <w:rsid w:val="5BFC18C2"/>
    <w:rsid w:val="5C281C29"/>
    <w:rsid w:val="5C2E6D29"/>
    <w:rsid w:val="5C391D86"/>
    <w:rsid w:val="5C5B5363"/>
    <w:rsid w:val="5C612A6A"/>
    <w:rsid w:val="5D033126"/>
    <w:rsid w:val="5D3E0158"/>
    <w:rsid w:val="5D536D88"/>
    <w:rsid w:val="5D5F5D3D"/>
    <w:rsid w:val="5D737547"/>
    <w:rsid w:val="5DD42A0C"/>
    <w:rsid w:val="5E2F5672"/>
    <w:rsid w:val="5E4148A3"/>
    <w:rsid w:val="5E4C42C5"/>
    <w:rsid w:val="5E551D52"/>
    <w:rsid w:val="5E5D5C72"/>
    <w:rsid w:val="5E6D2D7C"/>
    <w:rsid w:val="5EA60309"/>
    <w:rsid w:val="5EA659E7"/>
    <w:rsid w:val="5EDC3AA9"/>
    <w:rsid w:val="5EFC454C"/>
    <w:rsid w:val="5F620036"/>
    <w:rsid w:val="5F62562F"/>
    <w:rsid w:val="5F733F6D"/>
    <w:rsid w:val="5F9C5702"/>
    <w:rsid w:val="5FBA396B"/>
    <w:rsid w:val="5FBE5CC5"/>
    <w:rsid w:val="5FCD5F73"/>
    <w:rsid w:val="5FFA297B"/>
    <w:rsid w:val="60030021"/>
    <w:rsid w:val="60483063"/>
    <w:rsid w:val="60614306"/>
    <w:rsid w:val="60614AD7"/>
    <w:rsid w:val="606451DF"/>
    <w:rsid w:val="607B4B24"/>
    <w:rsid w:val="60820ED2"/>
    <w:rsid w:val="608754B1"/>
    <w:rsid w:val="60A201C2"/>
    <w:rsid w:val="60AB41E5"/>
    <w:rsid w:val="60E5459F"/>
    <w:rsid w:val="60FA2A28"/>
    <w:rsid w:val="60FB758F"/>
    <w:rsid w:val="61093974"/>
    <w:rsid w:val="61306618"/>
    <w:rsid w:val="61321EC7"/>
    <w:rsid w:val="61391B2C"/>
    <w:rsid w:val="61545140"/>
    <w:rsid w:val="615E7C2C"/>
    <w:rsid w:val="617A0C09"/>
    <w:rsid w:val="617A7CB0"/>
    <w:rsid w:val="618135E4"/>
    <w:rsid w:val="61A7686F"/>
    <w:rsid w:val="61F60393"/>
    <w:rsid w:val="62282737"/>
    <w:rsid w:val="625F178F"/>
    <w:rsid w:val="629B6147"/>
    <w:rsid w:val="629D79FD"/>
    <w:rsid w:val="629F1AA3"/>
    <w:rsid w:val="62C25F60"/>
    <w:rsid w:val="62C70573"/>
    <w:rsid w:val="62CE18DC"/>
    <w:rsid w:val="631F08E1"/>
    <w:rsid w:val="633C4272"/>
    <w:rsid w:val="634B4F62"/>
    <w:rsid w:val="638D548C"/>
    <w:rsid w:val="63B235BE"/>
    <w:rsid w:val="63CF24A6"/>
    <w:rsid w:val="63DA64F6"/>
    <w:rsid w:val="63EA0CB1"/>
    <w:rsid w:val="63FA40EC"/>
    <w:rsid w:val="644F1BEC"/>
    <w:rsid w:val="645211FC"/>
    <w:rsid w:val="6469242B"/>
    <w:rsid w:val="64BD0E0A"/>
    <w:rsid w:val="6525714A"/>
    <w:rsid w:val="65541FBB"/>
    <w:rsid w:val="655C1CE6"/>
    <w:rsid w:val="65800643"/>
    <w:rsid w:val="65821F1A"/>
    <w:rsid w:val="65A234EF"/>
    <w:rsid w:val="65A50C64"/>
    <w:rsid w:val="65A9129C"/>
    <w:rsid w:val="65B40453"/>
    <w:rsid w:val="65C66FCE"/>
    <w:rsid w:val="65E050A1"/>
    <w:rsid w:val="65E3442A"/>
    <w:rsid w:val="66162066"/>
    <w:rsid w:val="662561E3"/>
    <w:rsid w:val="663C7219"/>
    <w:rsid w:val="66791A62"/>
    <w:rsid w:val="66807D31"/>
    <w:rsid w:val="668B3BF5"/>
    <w:rsid w:val="66E82C5F"/>
    <w:rsid w:val="670A6294"/>
    <w:rsid w:val="67112205"/>
    <w:rsid w:val="672C1333"/>
    <w:rsid w:val="672E3421"/>
    <w:rsid w:val="673913FF"/>
    <w:rsid w:val="67455E7C"/>
    <w:rsid w:val="67987A08"/>
    <w:rsid w:val="67CA2ED6"/>
    <w:rsid w:val="67CE356B"/>
    <w:rsid w:val="67F36173"/>
    <w:rsid w:val="6802535E"/>
    <w:rsid w:val="68100FCB"/>
    <w:rsid w:val="685A05B1"/>
    <w:rsid w:val="685D139A"/>
    <w:rsid w:val="68825A18"/>
    <w:rsid w:val="6899749B"/>
    <w:rsid w:val="68C02564"/>
    <w:rsid w:val="68EB213B"/>
    <w:rsid w:val="690530BE"/>
    <w:rsid w:val="69444DD0"/>
    <w:rsid w:val="69536FD5"/>
    <w:rsid w:val="69797C2C"/>
    <w:rsid w:val="6986435C"/>
    <w:rsid w:val="699178B2"/>
    <w:rsid w:val="69C9112D"/>
    <w:rsid w:val="69CB3E01"/>
    <w:rsid w:val="69E74BD9"/>
    <w:rsid w:val="69E92829"/>
    <w:rsid w:val="6A0E2A95"/>
    <w:rsid w:val="6A381DEE"/>
    <w:rsid w:val="6A66080B"/>
    <w:rsid w:val="6A8250AC"/>
    <w:rsid w:val="6A8B1A42"/>
    <w:rsid w:val="6A940608"/>
    <w:rsid w:val="6A9933AE"/>
    <w:rsid w:val="6AA22D35"/>
    <w:rsid w:val="6ADD3DAD"/>
    <w:rsid w:val="6AE719A4"/>
    <w:rsid w:val="6B145BA3"/>
    <w:rsid w:val="6B29732C"/>
    <w:rsid w:val="6C0D7030"/>
    <w:rsid w:val="6C132618"/>
    <w:rsid w:val="6C5B6D21"/>
    <w:rsid w:val="6C6E69D7"/>
    <w:rsid w:val="6C814756"/>
    <w:rsid w:val="6CB303BA"/>
    <w:rsid w:val="6CCF0E41"/>
    <w:rsid w:val="6D2261CC"/>
    <w:rsid w:val="6D4E4DEB"/>
    <w:rsid w:val="6D6D5DB6"/>
    <w:rsid w:val="6D966B48"/>
    <w:rsid w:val="6DA52D27"/>
    <w:rsid w:val="6DB850BA"/>
    <w:rsid w:val="6DBC6C4B"/>
    <w:rsid w:val="6DE30E2B"/>
    <w:rsid w:val="6E573A06"/>
    <w:rsid w:val="6E6828B6"/>
    <w:rsid w:val="6E770E8A"/>
    <w:rsid w:val="6EDE1E38"/>
    <w:rsid w:val="700A2D4D"/>
    <w:rsid w:val="70210E47"/>
    <w:rsid w:val="70B845DA"/>
    <w:rsid w:val="70B97CE2"/>
    <w:rsid w:val="70D01F05"/>
    <w:rsid w:val="70D2753C"/>
    <w:rsid w:val="710B2E74"/>
    <w:rsid w:val="714A1C83"/>
    <w:rsid w:val="714E40CA"/>
    <w:rsid w:val="716E6A0A"/>
    <w:rsid w:val="718863AF"/>
    <w:rsid w:val="71CE21C6"/>
    <w:rsid w:val="71F46D81"/>
    <w:rsid w:val="720A0C34"/>
    <w:rsid w:val="720C737F"/>
    <w:rsid w:val="721B57EB"/>
    <w:rsid w:val="72280E69"/>
    <w:rsid w:val="723F6BC3"/>
    <w:rsid w:val="727A65D8"/>
    <w:rsid w:val="729E144F"/>
    <w:rsid w:val="72A744F9"/>
    <w:rsid w:val="72C3578E"/>
    <w:rsid w:val="72D310BE"/>
    <w:rsid w:val="73202227"/>
    <w:rsid w:val="735936F8"/>
    <w:rsid w:val="735B39F8"/>
    <w:rsid w:val="73B104C6"/>
    <w:rsid w:val="73C42C1B"/>
    <w:rsid w:val="740534BB"/>
    <w:rsid w:val="740C206A"/>
    <w:rsid w:val="741C6BEE"/>
    <w:rsid w:val="744E51F5"/>
    <w:rsid w:val="755476F1"/>
    <w:rsid w:val="75562683"/>
    <w:rsid w:val="75563777"/>
    <w:rsid w:val="755A176E"/>
    <w:rsid w:val="75B337AD"/>
    <w:rsid w:val="75B61D52"/>
    <w:rsid w:val="75EB53FF"/>
    <w:rsid w:val="76061DA4"/>
    <w:rsid w:val="760F53FE"/>
    <w:rsid w:val="761B4B2F"/>
    <w:rsid w:val="76442CEB"/>
    <w:rsid w:val="76944C92"/>
    <w:rsid w:val="76E4645D"/>
    <w:rsid w:val="76F831F4"/>
    <w:rsid w:val="770662A0"/>
    <w:rsid w:val="773C29F6"/>
    <w:rsid w:val="77407BF9"/>
    <w:rsid w:val="77453E38"/>
    <w:rsid w:val="776032F9"/>
    <w:rsid w:val="776E16D5"/>
    <w:rsid w:val="778C0D3D"/>
    <w:rsid w:val="77E54DAE"/>
    <w:rsid w:val="77F92457"/>
    <w:rsid w:val="783971BE"/>
    <w:rsid w:val="78457FFA"/>
    <w:rsid w:val="785015C0"/>
    <w:rsid w:val="78651E41"/>
    <w:rsid w:val="78805719"/>
    <w:rsid w:val="78B44881"/>
    <w:rsid w:val="78BB33D4"/>
    <w:rsid w:val="78BF6402"/>
    <w:rsid w:val="78DC4CC2"/>
    <w:rsid w:val="78E05642"/>
    <w:rsid w:val="78F84F53"/>
    <w:rsid w:val="79534281"/>
    <w:rsid w:val="7960130D"/>
    <w:rsid w:val="796632ED"/>
    <w:rsid w:val="79BD5E3D"/>
    <w:rsid w:val="7A351C1A"/>
    <w:rsid w:val="7A365BB3"/>
    <w:rsid w:val="7A417774"/>
    <w:rsid w:val="7A477DEF"/>
    <w:rsid w:val="7A6427DF"/>
    <w:rsid w:val="7A6E72B5"/>
    <w:rsid w:val="7A8A69DE"/>
    <w:rsid w:val="7A8B1EAE"/>
    <w:rsid w:val="7A9F1C47"/>
    <w:rsid w:val="7AFC665B"/>
    <w:rsid w:val="7B046A60"/>
    <w:rsid w:val="7B2E66CC"/>
    <w:rsid w:val="7B3859D7"/>
    <w:rsid w:val="7B405CD0"/>
    <w:rsid w:val="7B446FE5"/>
    <w:rsid w:val="7B476A92"/>
    <w:rsid w:val="7B64530D"/>
    <w:rsid w:val="7B746618"/>
    <w:rsid w:val="7B8E49D1"/>
    <w:rsid w:val="7BBF1CB0"/>
    <w:rsid w:val="7BC3455E"/>
    <w:rsid w:val="7BF16B72"/>
    <w:rsid w:val="7C113B91"/>
    <w:rsid w:val="7C1F163C"/>
    <w:rsid w:val="7C3760EF"/>
    <w:rsid w:val="7C51034A"/>
    <w:rsid w:val="7C8449CC"/>
    <w:rsid w:val="7C856257"/>
    <w:rsid w:val="7C8F61F4"/>
    <w:rsid w:val="7CE126F0"/>
    <w:rsid w:val="7CFC28EF"/>
    <w:rsid w:val="7D3D1831"/>
    <w:rsid w:val="7D922BE7"/>
    <w:rsid w:val="7DAC0D72"/>
    <w:rsid w:val="7E295ECC"/>
    <w:rsid w:val="7E2D74C1"/>
    <w:rsid w:val="7E354C18"/>
    <w:rsid w:val="7E4942BC"/>
    <w:rsid w:val="7E586F50"/>
    <w:rsid w:val="7E7F46A1"/>
    <w:rsid w:val="7E8B1582"/>
    <w:rsid w:val="7EC25089"/>
    <w:rsid w:val="7EE805D2"/>
    <w:rsid w:val="7EEF0BF3"/>
    <w:rsid w:val="7F245EFC"/>
    <w:rsid w:val="7F263E4C"/>
    <w:rsid w:val="7F860998"/>
    <w:rsid w:val="7FCD74D0"/>
    <w:rsid w:val="7FDD4851"/>
    <w:rsid w:val="7FE22DDD"/>
    <w:rsid w:val="7FF07CCB"/>
    <w:rsid w:val="7FF84900"/>
    <w:rsid w:val="7FFE3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0"/>
    <w:qFormat/>
    <w:uiPriority w:val="0"/>
    <w:pPr>
      <w:keepNext/>
      <w:keepLines/>
      <w:numPr>
        <w:ilvl w:val="0"/>
        <w:numId w:val="1"/>
      </w:numPr>
      <w:spacing w:before="340" w:after="330" w:line="578" w:lineRule="auto"/>
      <w:outlineLvl w:val="0"/>
    </w:pPr>
    <w:rPr>
      <w:b/>
      <w:bCs/>
      <w:kern w:val="44"/>
      <w:sz w:val="44"/>
      <w:szCs w:val="44"/>
    </w:rPr>
  </w:style>
  <w:style w:type="paragraph" w:styleId="3">
    <w:name w:val="heading 2"/>
    <w:basedOn w:val="2"/>
    <w:next w:val="1"/>
    <w:link w:val="71"/>
    <w:qFormat/>
    <w:uiPriority w:val="0"/>
    <w:pPr>
      <w:widowControl/>
      <w:numPr>
        <w:ilvl w:val="1"/>
      </w:numPr>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2"/>
    <w:qFormat/>
    <w:uiPriority w:val="0"/>
    <w:pPr>
      <w:numPr>
        <w:ilvl w:val="2"/>
      </w:numPr>
      <w:tabs>
        <w:tab w:val="clear" w:pos="432"/>
      </w:tabs>
      <w:spacing w:before="260" w:after="260" w:line="416" w:lineRule="auto"/>
      <w:outlineLvl w:val="2"/>
    </w:pPr>
    <w:rPr>
      <w:b/>
      <w:bCs/>
    </w:rPr>
  </w:style>
  <w:style w:type="paragraph" w:styleId="5">
    <w:name w:val="heading 4"/>
    <w:basedOn w:val="4"/>
    <w:next w:val="1"/>
    <w:link w:val="73"/>
    <w:qFormat/>
    <w:uiPriority w:val="0"/>
    <w:pPr>
      <w:numPr>
        <w:ilvl w:val="3"/>
      </w:numPr>
      <w:spacing w:before="280" w:after="290" w:line="372" w:lineRule="auto"/>
      <w:outlineLvl w:val="3"/>
    </w:pPr>
    <w:rPr>
      <w:rFonts w:eastAsia="黑体"/>
      <w:sz w:val="28"/>
    </w:rPr>
  </w:style>
  <w:style w:type="paragraph" w:styleId="6">
    <w:name w:val="heading 5"/>
    <w:basedOn w:val="1"/>
    <w:next w:val="1"/>
    <w:link w:val="74"/>
    <w:qFormat/>
    <w:uiPriority w:val="0"/>
    <w:pPr>
      <w:keepNext/>
      <w:keepLines/>
      <w:numPr>
        <w:ilvl w:val="4"/>
        <w:numId w:val="1"/>
      </w:numPr>
      <w:spacing w:before="280" w:after="290" w:line="372" w:lineRule="auto"/>
      <w:outlineLvl w:val="4"/>
    </w:pPr>
    <w:rPr>
      <w:b/>
      <w:sz w:val="28"/>
    </w:rPr>
  </w:style>
  <w:style w:type="paragraph" w:styleId="7">
    <w:name w:val="heading 6"/>
    <w:basedOn w:val="1"/>
    <w:next w:val="1"/>
    <w:link w:val="75"/>
    <w:qFormat/>
    <w:uiPriority w:val="0"/>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link w:val="76"/>
    <w:qFormat/>
    <w:uiPriority w:val="0"/>
    <w:pPr>
      <w:keepNext/>
      <w:keepLines/>
      <w:numPr>
        <w:ilvl w:val="6"/>
        <w:numId w:val="1"/>
      </w:numPr>
      <w:spacing w:before="240" w:after="64" w:line="317" w:lineRule="auto"/>
      <w:outlineLvl w:val="6"/>
    </w:pPr>
    <w:rPr>
      <w:b/>
      <w:sz w:val="24"/>
    </w:rPr>
  </w:style>
  <w:style w:type="paragraph" w:styleId="9">
    <w:name w:val="heading 8"/>
    <w:basedOn w:val="1"/>
    <w:next w:val="1"/>
    <w:link w:val="77"/>
    <w:qFormat/>
    <w:uiPriority w:val="0"/>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link w:val="78"/>
    <w:qFormat/>
    <w:uiPriority w:val="0"/>
    <w:pPr>
      <w:keepNext/>
      <w:keepLines/>
      <w:numPr>
        <w:ilvl w:val="8"/>
        <w:numId w:val="1"/>
      </w:numPr>
      <w:spacing w:before="240" w:after="64" w:line="317" w:lineRule="auto"/>
      <w:outlineLvl w:val="8"/>
    </w:pPr>
    <w:rPr>
      <w:rFonts w:ascii="Arial" w:hAnsi="Arial" w:eastAsia="黑体"/>
    </w:rPr>
  </w:style>
  <w:style w:type="character" w:default="1" w:styleId="56">
    <w:name w:val="Default Paragraph Font"/>
    <w:unhideWhenUsed/>
    <w:qFormat/>
    <w:uiPriority w:val="1"/>
  </w:style>
  <w:style w:type="table" w:default="1" w:styleId="65">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annotation subject"/>
    <w:basedOn w:val="15"/>
    <w:next w:val="15"/>
    <w:link w:val="177"/>
    <w:semiHidden/>
    <w:qFormat/>
    <w:uiPriority w:val="0"/>
    <w:pPr>
      <w:widowControl/>
      <w:spacing w:before="40"/>
    </w:pPr>
    <w:rPr>
      <w:rFonts w:ascii="Arial" w:hAnsi="Arial" w:eastAsia="MS Mincho"/>
      <w:b/>
      <w:bCs/>
      <w:kern w:val="0"/>
      <w:sz w:val="20"/>
      <w:szCs w:val="20"/>
      <w:lang w:val="en-GB" w:eastAsia="en-GB"/>
    </w:rPr>
  </w:style>
  <w:style w:type="paragraph" w:styleId="15">
    <w:name w:val="annotation text"/>
    <w:basedOn w:val="1"/>
    <w:link w:val="176"/>
    <w:unhideWhenUsed/>
    <w:qFormat/>
    <w:uiPriority w:val="0"/>
    <w:pPr>
      <w:jc w:val="left"/>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90"/>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69"/>
    <w:unhideWhenUsed/>
    <w:qFormat/>
    <w:uiPriority w:val="0"/>
    <w:rPr>
      <w:rFonts w:ascii="宋体"/>
      <w:sz w:val="18"/>
      <w:szCs w:val="18"/>
    </w:r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Body Text"/>
    <w:basedOn w:val="1"/>
    <w:link w:val="182"/>
    <w:qFormat/>
    <w:uiPriority w:val="0"/>
    <w:pPr>
      <w:widowControl/>
      <w:spacing w:before="40" w:after="120"/>
      <w:jc w:val="left"/>
    </w:pPr>
    <w:rPr>
      <w:rFonts w:ascii="Arial" w:hAnsi="Arial" w:eastAsia="MS Mincho"/>
      <w:kern w:val="0"/>
      <w:sz w:val="20"/>
      <w:lang w:val="en-GB" w:eastAsia="en-GB"/>
    </w:r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62"/>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9"/>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7"/>
    <w:unhideWhenUsed/>
    <w:qFormat/>
    <w:uiPriority w:val="0"/>
    <w:rPr>
      <w:sz w:val="18"/>
      <w:szCs w:val="18"/>
    </w:rPr>
  </w:style>
  <w:style w:type="paragraph" w:styleId="38">
    <w:name w:val="footer"/>
    <w:basedOn w:val="1"/>
    <w:link w:val="113"/>
    <w:qFormat/>
    <w:uiPriority w:val="99"/>
    <w:pPr>
      <w:tabs>
        <w:tab w:val="center" w:pos="4153"/>
        <w:tab w:val="right" w:pos="8306"/>
      </w:tabs>
      <w:snapToGrid w:val="0"/>
      <w:jc w:val="left"/>
    </w:pPr>
    <w:rPr>
      <w:sz w:val="18"/>
      <w:szCs w:val="18"/>
    </w:rPr>
  </w:style>
  <w:style w:type="paragraph" w:styleId="39">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eastAsia="宋体" w:cs="Times New Roman"/>
      <w:sz w:val="21"/>
      <w:lang w:val="en-US" w:eastAsia="zh-CN" w:bidi="ar-SA"/>
    </w:rPr>
  </w:style>
  <w:style w:type="paragraph" w:styleId="45">
    <w:name w:val="footnote text"/>
    <w:basedOn w:val="1"/>
    <w:link w:val="150"/>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Strong"/>
    <w:basedOn w:val="56"/>
    <w:qFormat/>
    <w:uiPriority w:val="22"/>
    <w:rPr>
      <w:b/>
    </w:rPr>
  </w:style>
  <w:style w:type="character" w:styleId="58">
    <w:name w:val="endnote reference"/>
    <w:basedOn w:val="56"/>
    <w:qFormat/>
    <w:uiPriority w:val="0"/>
    <w:rPr>
      <w:vertAlign w:val="superscript"/>
    </w:rPr>
  </w:style>
  <w:style w:type="character" w:styleId="59">
    <w:name w:val="page number"/>
    <w:basedOn w:val="56"/>
    <w:qFormat/>
    <w:uiPriority w:val="0"/>
  </w:style>
  <w:style w:type="character" w:styleId="60">
    <w:name w:val="FollowedHyperlink"/>
    <w:basedOn w:val="56"/>
    <w:qFormat/>
    <w:uiPriority w:val="0"/>
    <w:rPr>
      <w:color w:val="800080"/>
      <w:u w:val="single"/>
    </w:rPr>
  </w:style>
  <w:style w:type="character" w:styleId="61">
    <w:name w:val="Emphasis"/>
    <w:qFormat/>
    <w:uiPriority w:val="0"/>
    <w:rPr>
      <w:i/>
      <w:iCs/>
    </w:rPr>
  </w:style>
  <w:style w:type="character" w:styleId="62">
    <w:name w:val="Hyperlink"/>
    <w:basedOn w:val="56"/>
    <w:qFormat/>
    <w:uiPriority w:val="99"/>
    <w:rPr>
      <w:color w:val="0000FF"/>
      <w:spacing w:val="0"/>
      <w:w w:val="100"/>
      <w:szCs w:val="21"/>
      <w:u w:val="single"/>
      <w:lang w:val="en-US" w:eastAsia="zh-CN"/>
    </w:rPr>
  </w:style>
  <w:style w:type="character" w:styleId="63">
    <w:name w:val="annotation reference"/>
    <w:qFormat/>
    <w:uiPriority w:val="0"/>
    <w:rPr>
      <w:sz w:val="16"/>
    </w:rPr>
  </w:style>
  <w:style w:type="character" w:styleId="64">
    <w:name w:val="footnote reference"/>
    <w:basedOn w:val="56"/>
    <w:qFormat/>
    <w:uiPriority w:val="0"/>
    <w:rPr>
      <w:vertAlign w:val="superscript"/>
    </w:rPr>
  </w:style>
  <w:style w:type="table" w:styleId="66">
    <w:name w:val="Table Grid"/>
    <w:basedOn w:val="65"/>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7">
    <w:name w:val="Balloon Text Char"/>
    <w:basedOn w:val="56"/>
    <w:link w:val="37"/>
    <w:qFormat/>
    <w:uiPriority w:val="0"/>
    <w:rPr>
      <w:kern w:val="2"/>
      <w:sz w:val="18"/>
      <w:szCs w:val="18"/>
    </w:rPr>
  </w:style>
  <w:style w:type="paragraph" w:customStyle="1" w:styleId="68">
    <w:name w:val="列出段落1"/>
    <w:basedOn w:val="1"/>
    <w:unhideWhenUsed/>
    <w:qFormat/>
    <w:uiPriority w:val="34"/>
    <w:pPr>
      <w:ind w:firstLine="420" w:firstLineChars="200"/>
    </w:pPr>
  </w:style>
  <w:style w:type="character" w:customStyle="1" w:styleId="69">
    <w:name w:val="Document Map Char"/>
    <w:basedOn w:val="56"/>
    <w:link w:val="26"/>
    <w:qFormat/>
    <w:uiPriority w:val="0"/>
    <w:rPr>
      <w:rFonts w:ascii="宋体"/>
      <w:kern w:val="2"/>
      <w:sz w:val="18"/>
      <w:szCs w:val="18"/>
    </w:rPr>
  </w:style>
  <w:style w:type="character" w:customStyle="1" w:styleId="70">
    <w:name w:val="Heading 1 Char"/>
    <w:basedOn w:val="56"/>
    <w:link w:val="2"/>
    <w:qFormat/>
    <w:uiPriority w:val="0"/>
    <w:rPr>
      <w:b/>
      <w:bCs/>
      <w:kern w:val="44"/>
      <w:sz w:val="44"/>
      <w:szCs w:val="44"/>
    </w:rPr>
  </w:style>
  <w:style w:type="character" w:customStyle="1" w:styleId="71">
    <w:name w:val="Heading 2 Char"/>
    <w:basedOn w:val="56"/>
    <w:link w:val="3"/>
    <w:qFormat/>
    <w:uiPriority w:val="0"/>
    <w:rPr>
      <w:rFonts w:ascii="Arial" w:hAnsi="Arial" w:eastAsia="MS Mincho"/>
      <w:sz w:val="32"/>
      <w:szCs w:val="32"/>
      <w:lang w:val="en-GB"/>
    </w:rPr>
  </w:style>
  <w:style w:type="character" w:customStyle="1" w:styleId="72">
    <w:name w:val="Heading 3 Char"/>
    <w:basedOn w:val="56"/>
    <w:link w:val="4"/>
    <w:qFormat/>
    <w:uiPriority w:val="0"/>
    <w:rPr>
      <w:b/>
      <w:bCs/>
      <w:kern w:val="2"/>
      <w:sz w:val="32"/>
      <w:szCs w:val="32"/>
    </w:rPr>
  </w:style>
  <w:style w:type="character" w:customStyle="1" w:styleId="73">
    <w:name w:val="Heading 4 Char"/>
    <w:basedOn w:val="56"/>
    <w:link w:val="5"/>
    <w:qFormat/>
    <w:uiPriority w:val="0"/>
    <w:rPr>
      <w:rFonts w:ascii="Arial" w:hAnsi="Arial" w:eastAsia="黑体"/>
      <w:b/>
      <w:kern w:val="2"/>
      <w:sz w:val="28"/>
      <w:szCs w:val="24"/>
    </w:rPr>
  </w:style>
  <w:style w:type="character" w:customStyle="1" w:styleId="74">
    <w:name w:val="Heading 5 Char"/>
    <w:basedOn w:val="56"/>
    <w:link w:val="6"/>
    <w:qFormat/>
    <w:uiPriority w:val="0"/>
    <w:rPr>
      <w:b/>
      <w:kern w:val="2"/>
      <w:sz w:val="28"/>
      <w:szCs w:val="24"/>
    </w:rPr>
  </w:style>
  <w:style w:type="character" w:customStyle="1" w:styleId="75">
    <w:name w:val="Heading 6 Char"/>
    <w:basedOn w:val="56"/>
    <w:link w:val="7"/>
    <w:qFormat/>
    <w:uiPriority w:val="0"/>
    <w:rPr>
      <w:rFonts w:ascii="Arial" w:hAnsi="Arial" w:eastAsia="黑体"/>
      <w:b/>
      <w:kern w:val="2"/>
      <w:sz w:val="24"/>
      <w:szCs w:val="24"/>
    </w:rPr>
  </w:style>
  <w:style w:type="character" w:customStyle="1" w:styleId="76">
    <w:name w:val="Heading 7 Char"/>
    <w:basedOn w:val="56"/>
    <w:link w:val="8"/>
    <w:qFormat/>
    <w:uiPriority w:val="0"/>
    <w:rPr>
      <w:b/>
      <w:kern w:val="2"/>
      <w:sz w:val="24"/>
      <w:szCs w:val="24"/>
    </w:rPr>
  </w:style>
  <w:style w:type="character" w:customStyle="1" w:styleId="77">
    <w:name w:val="Heading 8 Char"/>
    <w:basedOn w:val="56"/>
    <w:link w:val="9"/>
    <w:qFormat/>
    <w:uiPriority w:val="0"/>
    <w:rPr>
      <w:rFonts w:ascii="Arial" w:hAnsi="Arial" w:eastAsia="黑体"/>
      <w:kern w:val="2"/>
      <w:sz w:val="24"/>
      <w:szCs w:val="24"/>
    </w:rPr>
  </w:style>
  <w:style w:type="character" w:customStyle="1" w:styleId="78">
    <w:name w:val="Heading 9 Char"/>
    <w:basedOn w:val="56"/>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Caption Char"/>
    <w:link w:val="24"/>
    <w:qFormat/>
    <w:uiPriority w:val="0"/>
    <w:rPr>
      <w:rFonts w:ascii="Arial" w:hAnsi="Arial" w:eastAsia="黑体" w:cs="Arial"/>
      <w:kern w:val="2"/>
    </w:rPr>
  </w:style>
  <w:style w:type="character" w:customStyle="1" w:styleId="91">
    <w:name w:val="标题 3 Char Char"/>
    <w:basedOn w:val="56"/>
    <w:qFormat/>
    <w:uiPriority w:val="0"/>
    <w:rPr>
      <w:b/>
      <w:bCs/>
      <w:kern w:val="2"/>
      <w:sz w:val="32"/>
      <w:szCs w:val="32"/>
    </w:rPr>
  </w:style>
  <w:style w:type="character" w:customStyle="1" w:styleId="92">
    <w:name w:val="批注主题 Char"/>
    <w:basedOn w:val="93"/>
    <w:semiHidden/>
    <w:qFormat/>
    <w:uiPriority w:val="0"/>
    <w:rPr>
      <w:rFonts w:ascii="Arial" w:hAnsi="Arial" w:eastAsia="MS Mincho"/>
      <w:b/>
      <w:bCs/>
      <w:lang w:val="en-GB" w:eastAsia="en-GB"/>
    </w:rPr>
  </w:style>
  <w:style w:type="character" w:customStyle="1" w:styleId="93">
    <w:name w:val="批注文字 Char"/>
    <w:basedOn w:val="56"/>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3"/>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6"/>
    <w:link w:val="44"/>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12"/>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6"/>
    <w:qFormat/>
    <w:uiPriority w:val="0"/>
    <w:rPr>
      <w:b/>
      <w:bCs/>
      <w:kern w:val="44"/>
      <w:sz w:val="44"/>
      <w:szCs w:val="44"/>
    </w:rPr>
  </w:style>
  <w:style w:type="character" w:customStyle="1" w:styleId="111">
    <w:name w:val="Doc-title Char Char"/>
    <w:basedOn w:val="56"/>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8"/>
    <w:qFormat/>
    <w:uiPriority w:val="99"/>
    <w:rPr>
      <w:kern w:val="2"/>
      <w:sz w:val="18"/>
      <w:szCs w:val="18"/>
    </w:rPr>
  </w:style>
  <w:style w:type="character" w:customStyle="1" w:styleId="114">
    <w:name w:val="占位符文本1"/>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4"/>
    <w:next w:val="44"/>
    <w:link w:val="115"/>
    <w:qFormat/>
    <w:uiPriority w:val="0"/>
  </w:style>
  <w:style w:type="character" w:customStyle="1" w:styleId="117">
    <w:name w:val="纯文本 Char"/>
    <w:basedOn w:val="56"/>
    <w:qFormat/>
    <w:uiPriority w:val="99"/>
    <w:rPr>
      <w:rFonts w:ascii="Consolas" w:hAnsi="Consolas" w:eastAsia="Calibri"/>
      <w:sz w:val="21"/>
      <w:szCs w:val="21"/>
      <w:lang w:eastAsia="en-US"/>
    </w:rPr>
  </w:style>
  <w:style w:type="character" w:customStyle="1" w:styleId="118">
    <w:name w:val="首示例 Char Char"/>
    <w:basedOn w:val="56"/>
    <w:link w:val="119"/>
    <w:qFormat/>
    <w:uiPriority w:val="0"/>
    <w:rPr>
      <w:rFonts w:ascii="宋体" w:hAnsi="宋体"/>
      <w:kern w:val="2"/>
      <w:sz w:val="18"/>
      <w:szCs w:val="18"/>
    </w:rPr>
  </w:style>
  <w:style w:type="paragraph" w:customStyle="1" w:styleId="119">
    <w:name w:val="首示例"/>
    <w:next w:val="44"/>
    <w:link w:val="118"/>
    <w:qFormat/>
    <w:uiPriority w:val="0"/>
    <w:pPr>
      <w:tabs>
        <w:tab w:val="left" w:pos="360"/>
      </w:tabs>
      <w:spacing w:after="160" w:line="259" w:lineRule="auto"/>
    </w:pPr>
    <w:rPr>
      <w:rFonts w:ascii="宋体" w:hAnsi="宋体" w:eastAsia="宋体" w:cs="Times New Roman"/>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6"/>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Header Char"/>
    <w:link w:val="39"/>
    <w:qFormat/>
    <w:uiPriority w:val="99"/>
    <w:rPr>
      <w:kern w:val="2"/>
      <w:sz w:val="18"/>
      <w:szCs w:val="18"/>
    </w:rPr>
  </w:style>
  <w:style w:type="character" w:customStyle="1" w:styleId="131">
    <w:name w:val="Doc-text2 Char Char"/>
    <w:basedOn w:val="56"/>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4"/>
    <w:qFormat/>
    <w:uiPriority w:val="0"/>
    <w:pPr>
      <w:spacing w:after="160" w:line="259" w:lineRule="auto"/>
      <w:jc w:val="center"/>
    </w:pPr>
    <w:rPr>
      <w:rFonts w:ascii="宋体" w:hAnsi="Times New Roman" w:eastAsia="宋体" w:cs="Times New Roman"/>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eastAsia="宋体" w:cs="Times New Roman"/>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eastAsia="宋体" w:cs="Times New Roman"/>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eastAsia="宋体" w:cs="Times New Roman"/>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4"/>
    <w:qFormat/>
    <w:uiPriority w:val="0"/>
    <w:pPr>
      <w:outlineLvl w:val="4"/>
    </w:pPr>
  </w:style>
  <w:style w:type="paragraph" w:customStyle="1" w:styleId="144">
    <w:name w:val="二级条标题"/>
    <w:basedOn w:val="145"/>
    <w:next w:val="44"/>
    <w:qFormat/>
    <w:uiPriority w:val="0"/>
    <w:pPr>
      <w:spacing w:beforeLines="0" w:afterLines="0"/>
      <w:outlineLvl w:val="3"/>
    </w:pPr>
  </w:style>
  <w:style w:type="paragraph" w:customStyle="1" w:styleId="145">
    <w:name w:val="一级条标题"/>
    <w:next w:val="44"/>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4"/>
    <w:qFormat/>
    <w:uiPriority w:val="0"/>
    <w:pPr>
      <w:outlineLvl w:val="5"/>
    </w:pPr>
  </w:style>
  <w:style w:type="character" w:customStyle="1" w:styleId="150">
    <w:name w:val="Footnote Text Char"/>
    <w:basedOn w:val="56"/>
    <w:link w:val="45"/>
    <w:qFormat/>
    <w:uiPriority w:val="0"/>
    <w:rPr>
      <w:rFonts w:ascii="宋体"/>
      <w:kern w:val="2"/>
      <w:sz w:val="18"/>
      <w:szCs w:val="18"/>
    </w:rPr>
  </w:style>
  <w:style w:type="paragraph" w:customStyle="1" w:styleId="151">
    <w:name w:val="章标题"/>
    <w:next w:val="44"/>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4"/>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4"/>
    <w:qFormat/>
    <w:uiPriority w:val="0"/>
    <w:pPr>
      <w:widowControl w:val="0"/>
      <w:autoSpaceDE w:val="0"/>
      <w:autoSpaceDN w:val="0"/>
      <w:spacing w:after="160" w:line="259" w:lineRule="auto"/>
      <w:jc w:val="both"/>
    </w:pPr>
    <w:rPr>
      <w:rFonts w:ascii="宋体" w:hAnsi="Times New Roman" w:eastAsia="宋体" w:cs="Times New Roman"/>
      <w:sz w:val="18"/>
      <w:szCs w:val="18"/>
      <w:lang w:val="en-US" w:eastAsia="zh-CN" w:bidi="ar-SA"/>
    </w:rPr>
  </w:style>
  <w:style w:type="paragraph" w:customStyle="1" w:styleId="155">
    <w:name w:val="附录五级条标题"/>
    <w:basedOn w:val="156"/>
    <w:next w:val="44"/>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4"/>
    <w:qFormat/>
    <w:uiPriority w:val="0"/>
    <w:pPr>
      <w:tabs>
        <w:tab w:val="left" w:pos="360"/>
        <w:tab w:val="left" w:pos="864"/>
        <w:tab w:val="left" w:pos="1008"/>
      </w:tabs>
      <w:outlineLvl w:val="5"/>
    </w:pPr>
  </w:style>
  <w:style w:type="paragraph" w:customStyle="1" w:styleId="157">
    <w:name w:val="附录三级条标题"/>
    <w:basedOn w:val="158"/>
    <w:next w:val="44"/>
    <w:qFormat/>
    <w:uiPriority w:val="0"/>
    <w:pPr>
      <w:tabs>
        <w:tab w:val="left" w:pos="360"/>
        <w:tab w:val="left" w:pos="864"/>
        <w:tab w:val="left" w:pos="1008"/>
      </w:tabs>
      <w:ind w:left="1008" w:hanging="1008"/>
      <w:outlineLvl w:val="4"/>
    </w:pPr>
  </w:style>
  <w:style w:type="paragraph" w:customStyle="1" w:styleId="158">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Plain Text Char"/>
    <w:basedOn w:val="56"/>
    <w:link w:val="32"/>
    <w:semiHidden/>
    <w:qFormat/>
    <w:uiPriority w:val="0"/>
    <w:rPr>
      <w:rFonts w:ascii="宋体" w:hAnsi="Courier New" w:cs="Courier New"/>
      <w:kern w:val="2"/>
      <w:sz w:val="21"/>
      <w:szCs w:val="21"/>
    </w:rPr>
  </w:style>
  <w:style w:type="paragraph" w:customStyle="1" w:styleId="163">
    <w:name w:val="H6"/>
    <w:basedOn w:val="6"/>
    <w:next w:val="1"/>
    <w:qFormat/>
    <w:uiPriority w:val="0"/>
    <w:pPr>
      <w:widowControl/>
      <w:tabs>
        <w:tab w:val="clear" w:pos="1008"/>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eastAsia="宋体" w:cs="Times New Roman"/>
      <w:sz w:val="21"/>
      <w:szCs w:val="21"/>
      <w:lang w:val="en-US" w:eastAsia="zh-CN" w:bidi="ar-SA"/>
    </w:rPr>
  </w:style>
  <w:style w:type="character" w:customStyle="1" w:styleId="176">
    <w:name w:val="Comment Text Char"/>
    <w:basedOn w:val="56"/>
    <w:link w:val="15"/>
    <w:semiHidden/>
    <w:qFormat/>
    <w:uiPriority w:val="0"/>
    <w:rPr>
      <w:kern w:val="2"/>
      <w:sz w:val="21"/>
      <w:szCs w:val="24"/>
    </w:rPr>
  </w:style>
  <w:style w:type="character" w:customStyle="1" w:styleId="177">
    <w:name w:val="Comment Subject Char"/>
    <w:basedOn w:val="176"/>
    <w:link w:val="14"/>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eastAsia="宋体" w:cs="Times New Roman"/>
      <w:sz w:val="18"/>
      <w:szCs w:val="18"/>
      <w:lang w:val="en-US" w:eastAsia="zh-CN" w:bidi="ar-SA"/>
    </w:rPr>
  </w:style>
  <w:style w:type="character" w:customStyle="1" w:styleId="182">
    <w:name w:val="Body Text Char"/>
    <w:basedOn w:val="56"/>
    <w:link w:val="2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eastAsia="宋体" w:cs="Times New Roman"/>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eastAsia="宋体" w:cs="Times New Roman"/>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Times New Roman" w:eastAsia="宋体" w:cs="Times New Roman"/>
      <w:sz w:val="18"/>
      <w:lang w:val="en-US" w:eastAsia="zh-CN" w:bidi="ar-SA"/>
    </w:rPr>
  </w:style>
  <w:style w:type="character" w:customStyle="1" w:styleId="193">
    <w:name w:val="Endnote Text Char"/>
    <w:basedOn w:val="56"/>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eastAsia="宋体" w:cs="Times New Roman"/>
      <w:sz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link w:val="271"/>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link w:val="273"/>
    <w:qFormat/>
    <w:uiPriority w:val="0"/>
    <w:rPr>
      <w:b/>
      <w:bCs/>
      <w:szCs w:val="18"/>
    </w:rPr>
  </w:style>
  <w:style w:type="paragraph" w:customStyle="1" w:styleId="201">
    <w:name w:val="TAC"/>
    <w:basedOn w:val="105"/>
    <w:link w:val="272"/>
    <w:qFormat/>
    <w:uiPriority w:val="0"/>
    <w:pPr>
      <w:jc w:val="center"/>
    </w:pPr>
    <w:rPr>
      <w:szCs w:val="20"/>
      <w:lang w:eastAsia="en-US"/>
    </w:rPr>
  </w:style>
  <w:style w:type="paragraph" w:customStyle="1" w:styleId="202">
    <w:name w:val="示例后文字"/>
    <w:basedOn w:val="44"/>
    <w:next w:val="44"/>
    <w:qFormat/>
    <w:uiPriority w:val="0"/>
    <w:pPr>
      <w:ind w:firstLine="360"/>
    </w:pPr>
    <w:rPr>
      <w:sz w:val="18"/>
    </w:rPr>
  </w:style>
  <w:style w:type="paragraph" w:customStyle="1" w:styleId="203">
    <w:name w:val="图标脚注说明"/>
    <w:basedOn w:val="44"/>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4"/>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7"/>
    <w:qFormat/>
    <w:uiPriority w:val="0"/>
  </w:style>
  <w:style w:type="paragraph" w:customStyle="1" w:styleId="217">
    <w:name w:val="其他发布日期"/>
    <w:basedOn w:val="166"/>
    <w:qFormat/>
    <w:uiPriority w:val="0"/>
  </w:style>
  <w:style w:type="paragraph" w:customStyle="1" w:styleId="218">
    <w:name w:val="B4"/>
    <w:basedOn w:val="48"/>
    <w:qFormat/>
    <w:uiPriority w:val="0"/>
  </w:style>
  <w:style w:type="paragraph" w:customStyle="1" w:styleId="219">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eastAsia="宋体" w:cs="Times New Roman"/>
      <w:sz w:val="18"/>
      <w:szCs w:val="18"/>
      <w:lang w:val="en-US" w:eastAsia="zh-CN" w:bidi="ar-SA"/>
    </w:rPr>
  </w:style>
  <w:style w:type="paragraph" w:customStyle="1" w:styleId="222">
    <w:name w:val="附录表标号"/>
    <w:basedOn w:val="1"/>
    <w:next w:val="44"/>
    <w:qFormat/>
    <w:uiPriority w:val="0"/>
    <w:pPr>
      <w:spacing w:line="14" w:lineRule="exact"/>
      <w:ind w:left="811" w:hanging="448"/>
      <w:jc w:val="center"/>
      <w:outlineLvl w:val="0"/>
    </w:pPr>
    <w:rPr>
      <w:color w:val="FFFFFF"/>
    </w:rPr>
  </w:style>
  <w:style w:type="paragraph" w:customStyle="1" w:styleId="223">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4">
    <w:name w:val="附录标题"/>
    <w:basedOn w:val="44"/>
    <w:next w:val="44"/>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eastAsia="宋体" w:cs="Times New Roman"/>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eastAsia="宋体" w:cs="Times New Roman"/>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eastAsia="宋体" w:cs="Times New Roman"/>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eastAsia="宋体" w:cs="Times New Roman"/>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eastAsia="宋体" w:cs="Times New Roman"/>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4"/>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eastAsia="宋体" w:cs="Times New Roman"/>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eastAsia="宋体" w:cs="Times New Roman"/>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eastAsia="宋体" w:cs="Times New Roman"/>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eastAsia="宋体" w:cs="Times New Roman"/>
      <w:sz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eastAsia="宋体" w:cs="Times New Roman"/>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eastAsia="宋体" w:cs="Arial"/>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eastAsia="宋体" w:cs="Times New Roman"/>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eastAsia="宋体" w:cs="Times New Roman"/>
      <w:sz w:val="28"/>
      <w:lang w:val="en-US" w:eastAsia="zh-CN" w:bidi="ar-SA"/>
    </w:rPr>
  </w:style>
  <w:style w:type="character" w:customStyle="1" w:styleId="271">
    <w:name w:val="TF Char"/>
    <w:basedOn w:val="56"/>
    <w:link w:val="198"/>
    <w:qFormat/>
    <w:uiPriority w:val="0"/>
    <w:rPr>
      <w:rFonts w:ascii="Arial" w:hAnsi="Arial" w:eastAsia="MS Mincho"/>
      <w:b/>
      <w:lang w:val="en-GB" w:eastAsia="en-US"/>
    </w:rPr>
  </w:style>
  <w:style w:type="character" w:customStyle="1" w:styleId="272">
    <w:name w:val="TAC Char"/>
    <w:basedOn w:val="56"/>
    <w:link w:val="201"/>
    <w:qFormat/>
    <w:uiPriority w:val="0"/>
    <w:rPr>
      <w:rFonts w:ascii="Arial" w:hAnsi="Arial" w:eastAsia="MS Mincho" w:cs="Arial"/>
      <w:sz w:val="18"/>
      <w:lang w:val="en-GB" w:eastAsia="en-US"/>
    </w:rPr>
  </w:style>
  <w:style w:type="character" w:customStyle="1" w:styleId="273">
    <w:name w:val="TAH Car"/>
    <w:basedOn w:val="56"/>
    <w:link w:val="200"/>
    <w:qFormat/>
    <w:uiPriority w:val="0"/>
    <w:rPr>
      <w:rFonts w:ascii="Arial" w:hAnsi="Arial" w:eastAsia="MS Mincho" w:cs="Arial"/>
      <w:b/>
      <w:bCs/>
      <w:sz w:val="18"/>
      <w:szCs w:val="18"/>
      <w:lang w:val="en-GB"/>
    </w:rPr>
  </w:style>
  <w:style w:type="character" w:customStyle="1" w:styleId="274">
    <w:name w:val="B1 Char"/>
    <w:basedOn w:val="56"/>
    <w:qFormat/>
    <w:uiPriority w:val="0"/>
    <w:rPr>
      <w:lang w:val="en-GB"/>
    </w:rPr>
  </w:style>
  <w:style w:type="paragraph" w:customStyle="1" w:styleId="275">
    <w:name w:val="List Paragraph1"/>
    <w:basedOn w:val="1"/>
    <w:link w:val="276"/>
    <w:qFormat/>
    <w:uiPriority w:val="34"/>
    <w:pPr>
      <w:widowControl/>
      <w:ind w:left="840" w:leftChars="400"/>
      <w:jc w:val="left"/>
    </w:pPr>
    <w:rPr>
      <w:rFonts w:eastAsia="MS Gothic"/>
      <w:kern w:val="0"/>
      <w:sz w:val="24"/>
      <w:szCs w:val="20"/>
      <w:lang w:val="en-GB" w:eastAsia="ja-JP"/>
    </w:rPr>
  </w:style>
  <w:style w:type="character" w:customStyle="1" w:styleId="276">
    <w:name w:val="列出段落 Char"/>
    <w:link w:val="275"/>
    <w:qFormat/>
    <w:uiPriority w:val="34"/>
    <w:rPr>
      <w:rFonts w:eastAsia="MS Gothic"/>
      <w:sz w:val="24"/>
      <w:lang w:val="en-GB" w:eastAsia="ja-JP"/>
    </w:rPr>
  </w:style>
  <w:style w:type="character" w:customStyle="1" w:styleId="277">
    <w:name w:val="B3 Char"/>
    <w:basedOn w:val="56"/>
    <w:qFormat/>
    <w:uiPriority w:val="0"/>
    <w:rPr>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E85401-2FFC-4F16-9A3A-FFBC80339089}">
  <ds:schemaRefs/>
</ds:datastoreItem>
</file>

<file path=docProps/app.xml><?xml version="1.0" encoding="utf-8"?>
<Properties xmlns="http://schemas.openxmlformats.org/officeDocument/2006/extended-properties" xmlns:vt="http://schemas.openxmlformats.org/officeDocument/2006/docPropsVTypes">
  <Template>Normal</Template>
  <Pages>4</Pages>
  <Words>1212</Words>
  <Characters>6912</Characters>
  <Lines>57</Lines>
  <Paragraphs>16</Paragraphs>
  <ScaleCrop>false</ScaleCrop>
  <LinksUpToDate>false</LinksUpToDate>
  <CharactersWithSpaces>8108</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2017-09-25T10:27:00Z</dcterms:created>
  <dc:creator>10033860</dc:creator>
  <cp:lastModifiedBy>10033860</cp:lastModifiedBy>
  <cp:lastPrinted>2113-01-01T00:00:00Z</cp:lastPrinted>
  <dcterms:modified xsi:type="dcterms:W3CDTF">2018-09-28T01:00:39Z</dcterms:modified>
  <cp:revision>244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